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7C" w:rsidRDefault="000A307C" w:rsidP="000A307C">
      <w:pPr>
        <w:pStyle w:val="Header"/>
        <w:jc w:val="center"/>
        <w:rPr>
          <w:rFonts w:ascii="Arial" w:hAnsi="Arial" w:cs="Arial"/>
          <w:sz w:val="20"/>
          <w:szCs w:val="20"/>
        </w:rPr>
      </w:pPr>
      <w:r w:rsidRPr="000A307C">
        <w:rPr>
          <w:rFonts w:ascii="Arial" w:hAnsi="Arial" w:cs="Arial"/>
          <w:b/>
          <w:color w:val="FF0000"/>
        </w:rPr>
        <w:t xml:space="preserve">Embargoed until </w:t>
      </w:r>
      <w:r w:rsidR="007E57F9">
        <w:rPr>
          <w:rFonts w:ascii="Arial" w:hAnsi="Arial" w:cs="Arial"/>
          <w:b/>
          <w:color w:val="FF0000"/>
        </w:rPr>
        <w:t>9 pm NZ time</w:t>
      </w:r>
      <w:bookmarkStart w:id="0" w:name="_GoBack"/>
      <w:bookmarkEnd w:id="0"/>
    </w:p>
    <w:p w:rsidR="000A307C" w:rsidRDefault="000A307C" w:rsidP="000E2836">
      <w:pPr>
        <w:pStyle w:val="Header"/>
        <w:rPr>
          <w:rFonts w:ascii="Arial" w:hAnsi="Arial" w:cs="Arial"/>
          <w:sz w:val="20"/>
          <w:szCs w:val="20"/>
        </w:rPr>
      </w:pPr>
    </w:p>
    <w:p w:rsidR="000E2836" w:rsidRPr="000E2836" w:rsidRDefault="00E954CC" w:rsidP="000E2836">
      <w:pPr>
        <w:pStyle w:val="Header"/>
        <w:rPr>
          <w:rFonts w:ascii="Arial" w:hAnsi="Arial" w:cs="Arial"/>
          <w:sz w:val="20"/>
          <w:szCs w:val="20"/>
        </w:rPr>
      </w:pPr>
      <w:r>
        <w:rPr>
          <w:rFonts w:ascii="Arial" w:hAnsi="Arial" w:cs="Arial"/>
          <w:sz w:val="20"/>
          <w:szCs w:val="20"/>
        </w:rPr>
        <w:t>19 February 2015</w:t>
      </w:r>
      <w:r w:rsidR="000F251A" w:rsidRPr="000E2836">
        <w:rPr>
          <w:rFonts w:ascii="Arial" w:hAnsi="Arial" w:cs="Arial"/>
          <w:sz w:val="20"/>
          <w:szCs w:val="20"/>
        </w:rPr>
        <w:br/>
      </w:r>
      <w:r w:rsidR="000F251A" w:rsidRPr="000E2836">
        <w:rPr>
          <w:rFonts w:ascii="Arial" w:hAnsi="Arial" w:cs="Arial"/>
          <w:sz w:val="20"/>
          <w:szCs w:val="20"/>
        </w:rPr>
        <w:tab/>
      </w:r>
    </w:p>
    <w:p w:rsidR="000E2836" w:rsidRPr="000E2836" w:rsidRDefault="00C77DA9" w:rsidP="000E2836">
      <w:pPr>
        <w:pStyle w:val="Header"/>
        <w:jc w:val="center"/>
        <w:rPr>
          <w:rFonts w:ascii="Arial" w:hAnsi="Arial" w:cs="Arial"/>
          <w:b/>
          <w:sz w:val="30"/>
          <w:szCs w:val="20"/>
        </w:rPr>
      </w:pPr>
      <w:r>
        <w:rPr>
          <w:rFonts w:ascii="Arial" w:hAnsi="Arial" w:cs="Arial"/>
          <w:b/>
          <w:sz w:val="30"/>
          <w:szCs w:val="20"/>
        </w:rPr>
        <w:t xml:space="preserve">NZ Super Fund - </w:t>
      </w:r>
      <w:r w:rsidR="000F251A" w:rsidRPr="000E2836">
        <w:rPr>
          <w:rFonts w:ascii="Arial" w:hAnsi="Arial" w:cs="Arial"/>
          <w:b/>
          <w:sz w:val="30"/>
          <w:szCs w:val="20"/>
        </w:rPr>
        <w:t xml:space="preserve">Oak Finance Timeline </w:t>
      </w:r>
      <w:r w:rsidR="000F251A">
        <w:rPr>
          <w:rFonts w:ascii="Arial" w:hAnsi="Arial" w:cs="Arial"/>
          <w:b/>
          <w:sz w:val="30"/>
          <w:szCs w:val="20"/>
        </w:rPr>
        <w:t xml:space="preserve"> - M</w:t>
      </w:r>
      <w:r w:rsidR="000F251A" w:rsidRPr="000E2836">
        <w:rPr>
          <w:rFonts w:ascii="Arial" w:hAnsi="Arial" w:cs="Arial"/>
          <w:b/>
          <w:sz w:val="30"/>
          <w:szCs w:val="20"/>
        </w:rPr>
        <w:t xml:space="preserve">edia </w:t>
      </w:r>
      <w:r w:rsidR="000F251A">
        <w:rPr>
          <w:rFonts w:ascii="Arial" w:hAnsi="Arial" w:cs="Arial"/>
          <w:b/>
          <w:sz w:val="30"/>
          <w:szCs w:val="20"/>
        </w:rPr>
        <w:t>B</w:t>
      </w:r>
      <w:r w:rsidR="000F251A" w:rsidRPr="000E2836">
        <w:rPr>
          <w:rFonts w:ascii="Arial" w:hAnsi="Arial" w:cs="Arial"/>
          <w:b/>
          <w:sz w:val="30"/>
          <w:szCs w:val="20"/>
        </w:rPr>
        <w:t>ackground</w:t>
      </w:r>
      <w:r w:rsidR="000F251A">
        <w:rPr>
          <w:rFonts w:ascii="Arial" w:hAnsi="Arial" w:cs="Arial"/>
          <w:b/>
          <w:sz w:val="30"/>
          <w:szCs w:val="20"/>
        </w:rPr>
        <w:t>er</w:t>
      </w:r>
    </w:p>
    <w:p w:rsidR="00F81F33" w:rsidRPr="000E2836" w:rsidRDefault="00A26081">
      <w:pPr>
        <w:rPr>
          <w:rFonts w:ascii="Arial" w:hAnsi="Arial" w:cs="Arial"/>
          <w:sz w:val="20"/>
          <w:szCs w:val="20"/>
        </w:rPr>
      </w:pPr>
    </w:p>
    <w:tbl>
      <w:tblPr>
        <w:tblW w:w="9150" w:type="dxa"/>
        <w:tblInd w:w="108" w:type="dxa"/>
        <w:tblBorders>
          <w:insideH w:val="single" w:sz="4" w:space="0" w:color="auto"/>
          <w:insideV w:val="single" w:sz="4" w:space="0" w:color="auto"/>
        </w:tblBorders>
        <w:tblLook w:val="0000"/>
      </w:tblPr>
      <w:tblGrid>
        <w:gridCol w:w="2055"/>
        <w:gridCol w:w="7095"/>
      </w:tblGrid>
      <w:tr w:rsidR="002B1BEA" w:rsidTr="000E2836">
        <w:trPr>
          <w:trHeight w:val="601"/>
        </w:trPr>
        <w:tc>
          <w:tcPr>
            <w:tcW w:w="2055" w:type="dxa"/>
          </w:tcPr>
          <w:p w:rsidR="00AA3F7F" w:rsidRPr="000E2836" w:rsidRDefault="000F251A" w:rsidP="00513E6C">
            <w:pPr>
              <w:pStyle w:val="BodyText"/>
              <w:rPr>
                <w:rFonts w:ascii="Arial" w:hAnsi="Arial" w:cs="Arial"/>
                <w:sz w:val="20"/>
                <w:szCs w:val="20"/>
              </w:rPr>
            </w:pPr>
            <w:r w:rsidRPr="000E2836">
              <w:rPr>
                <w:rFonts w:ascii="Arial" w:hAnsi="Arial" w:cs="Arial"/>
                <w:sz w:val="20"/>
                <w:szCs w:val="20"/>
              </w:rPr>
              <w:t>31 December 2013</w:t>
            </w:r>
          </w:p>
        </w:tc>
        <w:tc>
          <w:tcPr>
            <w:tcW w:w="7095" w:type="dxa"/>
          </w:tcPr>
          <w:p w:rsidR="00AA3F7F" w:rsidRPr="000E2836" w:rsidRDefault="000F251A" w:rsidP="009E6932">
            <w:pPr>
              <w:pStyle w:val="BodyText"/>
              <w:rPr>
                <w:rFonts w:ascii="Arial" w:hAnsi="Arial" w:cs="Arial"/>
                <w:sz w:val="20"/>
                <w:szCs w:val="20"/>
              </w:rPr>
            </w:pPr>
            <w:r w:rsidRPr="000E2836">
              <w:rPr>
                <w:rFonts w:ascii="Arial" w:hAnsi="Arial" w:cs="Arial"/>
                <w:sz w:val="20"/>
                <w:szCs w:val="20"/>
              </w:rPr>
              <w:t>Banco Espirito Santo (“BES”) reports a Tier 1 Capital Ratio of 10.4</w:t>
            </w:r>
            <w:r w:rsidR="00E5001E">
              <w:rPr>
                <w:rFonts w:ascii="Arial" w:hAnsi="Arial" w:cs="Arial"/>
                <w:sz w:val="20"/>
                <w:szCs w:val="20"/>
              </w:rPr>
              <w:t>%</w:t>
            </w:r>
            <w:r w:rsidRPr="000E2836">
              <w:rPr>
                <w:rFonts w:ascii="Arial" w:hAnsi="Arial" w:cs="Arial"/>
                <w:sz w:val="20"/>
                <w:szCs w:val="20"/>
              </w:rPr>
              <w:t xml:space="preserve"> (and a Total Capital Ratio of 11.8</w:t>
            </w:r>
            <w:r w:rsidR="00E5001E">
              <w:rPr>
                <w:rFonts w:ascii="Arial" w:hAnsi="Arial" w:cs="Arial"/>
                <w:sz w:val="20"/>
                <w:szCs w:val="20"/>
              </w:rPr>
              <w:t>%</w:t>
            </w:r>
            <w:r w:rsidRPr="000E2836">
              <w:rPr>
                <w:rFonts w:ascii="Arial" w:hAnsi="Arial" w:cs="Arial"/>
                <w:sz w:val="20"/>
                <w:szCs w:val="20"/>
              </w:rPr>
              <w:t>) in its annual accounts</w:t>
            </w:r>
            <w:r w:rsidR="001A1B3A">
              <w:rPr>
                <w:rFonts w:ascii="Arial" w:hAnsi="Arial" w:cs="Arial"/>
                <w:sz w:val="20"/>
                <w:szCs w:val="20"/>
              </w:rPr>
              <w:t xml:space="preserve"> as at 31 December 2013</w:t>
            </w:r>
            <w:r w:rsidRPr="000E2836">
              <w:rPr>
                <w:rFonts w:ascii="Arial" w:hAnsi="Arial" w:cs="Arial"/>
                <w:sz w:val="20"/>
                <w:szCs w:val="20"/>
              </w:rPr>
              <w:t>.</w:t>
            </w:r>
          </w:p>
        </w:tc>
      </w:tr>
      <w:tr w:rsidR="002B1BEA" w:rsidTr="00F340C0">
        <w:trPr>
          <w:trHeight w:val="601"/>
        </w:trPr>
        <w:tc>
          <w:tcPr>
            <w:tcW w:w="2055" w:type="dxa"/>
          </w:tcPr>
          <w:p w:rsidR="00AA3F7F" w:rsidRPr="000E2836" w:rsidRDefault="00A344DA" w:rsidP="00F340C0">
            <w:pPr>
              <w:pStyle w:val="BodyText"/>
              <w:rPr>
                <w:rFonts w:ascii="Arial" w:hAnsi="Arial" w:cs="Arial"/>
                <w:sz w:val="20"/>
                <w:szCs w:val="20"/>
              </w:rPr>
            </w:pPr>
            <w:r>
              <w:rPr>
                <w:rFonts w:ascii="Arial" w:hAnsi="Arial" w:cs="Arial"/>
                <w:sz w:val="20"/>
                <w:szCs w:val="20"/>
              </w:rPr>
              <w:t>15 May 20</w:t>
            </w:r>
            <w:r w:rsidR="00F340C0">
              <w:rPr>
                <w:rFonts w:ascii="Arial" w:hAnsi="Arial" w:cs="Arial"/>
                <w:sz w:val="20"/>
                <w:szCs w:val="20"/>
              </w:rPr>
              <w:t>14</w:t>
            </w:r>
          </w:p>
        </w:tc>
        <w:tc>
          <w:tcPr>
            <w:tcW w:w="7095" w:type="dxa"/>
          </w:tcPr>
          <w:p w:rsidR="00AA3F7F" w:rsidRPr="000E2836" w:rsidRDefault="000F251A" w:rsidP="005948A5">
            <w:pPr>
              <w:jc w:val="both"/>
              <w:rPr>
                <w:rFonts w:ascii="Arial" w:hAnsi="Arial" w:cs="Arial"/>
                <w:sz w:val="20"/>
                <w:szCs w:val="20"/>
              </w:rPr>
            </w:pPr>
            <w:r w:rsidRPr="000E2836">
              <w:rPr>
                <w:rFonts w:ascii="Arial" w:hAnsi="Arial" w:cs="Arial"/>
                <w:sz w:val="20"/>
                <w:szCs w:val="20"/>
              </w:rPr>
              <w:t>BES Q1 results.  Earnings are in line with estimates and the Tier 1 Capital Ratio is reported as 9.8</w:t>
            </w:r>
            <w:r w:rsidR="00BF1C2C">
              <w:rPr>
                <w:rFonts w:ascii="Arial" w:hAnsi="Arial" w:cs="Arial"/>
                <w:sz w:val="20"/>
                <w:szCs w:val="20"/>
              </w:rPr>
              <w:t>%</w:t>
            </w:r>
            <w:r w:rsidRPr="000E2836">
              <w:rPr>
                <w:rFonts w:ascii="Arial" w:hAnsi="Arial" w:cs="Arial"/>
                <w:sz w:val="20"/>
                <w:szCs w:val="20"/>
              </w:rPr>
              <w:t xml:space="preserve"> (and a Total Capital Ratio of 11.1</w:t>
            </w:r>
            <w:r w:rsidR="005E71ED">
              <w:rPr>
                <w:rFonts w:ascii="Arial" w:hAnsi="Arial" w:cs="Arial"/>
                <w:sz w:val="20"/>
                <w:szCs w:val="20"/>
              </w:rPr>
              <w:t>%</w:t>
            </w:r>
            <w:r w:rsidRPr="000E2836">
              <w:rPr>
                <w:rFonts w:ascii="Arial" w:hAnsi="Arial" w:cs="Arial"/>
                <w:sz w:val="20"/>
                <w:szCs w:val="20"/>
              </w:rPr>
              <w:t>).</w:t>
            </w:r>
          </w:p>
        </w:tc>
      </w:tr>
      <w:tr w:rsidR="002B1BEA" w:rsidTr="00F340C0">
        <w:trPr>
          <w:trHeight w:val="597"/>
        </w:trPr>
        <w:tc>
          <w:tcPr>
            <w:tcW w:w="2055" w:type="dxa"/>
          </w:tcPr>
          <w:p w:rsidR="00AA3F7F" w:rsidRPr="000E2836" w:rsidRDefault="000F251A" w:rsidP="00513E6C">
            <w:pPr>
              <w:pStyle w:val="BodyText"/>
              <w:rPr>
                <w:rFonts w:ascii="Arial" w:hAnsi="Arial" w:cs="Arial"/>
                <w:sz w:val="20"/>
                <w:szCs w:val="20"/>
              </w:rPr>
            </w:pPr>
            <w:r w:rsidRPr="000E2836">
              <w:rPr>
                <w:rFonts w:ascii="Arial" w:hAnsi="Arial" w:cs="Arial"/>
                <w:sz w:val="20"/>
                <w:szCs w:val="20"/>
              </w:rPr>
              <w:t>17 June 2014</w:t>
            </w:r>
          </w:p>
        </w:tc>
        <w:tc>
          <w:tcPr>
            <w:tcW w:w="7095" w:type="dxa"/>
          </w:tcPr>
          <w:p w:rsidR="00AA3F7F" w:rsidRPr="000E2836" w:rsidRDefault="000F251A" w:rsidP="00F340C0">
            <w:pPr>
              <w:pStyle w:val="BodyText"/>
              <w:rPr>
                <w:rFonts w:ascii="Arial" w:hAnsi="Arial" w:cs="Arial"/>
                <w:sz w:val="20"/>
                <w:szCs w:val="20"/>
              </w:rPr>
            </w:pPr>
            <w:r w:rsidRPr="000E2836">
              <w:rPr>
                <w:rFonts w:ascii="Arial" w:hAnsi="Arial" w:cs="Arial"/>
                <w:sz w:val="20"/>
                <w:szCs w:val="20"/>
              </w:rPr>
              <w:t xml:space="preserve">BES completes its EUR1.045bn equity rights issue.  </w:t>
            </w:r>
            <w:r w:rsidR="00854D8B">
              <w:rPr>
                <w:rFonts w:ascii="Arial" w:hAnsi="Arial" w:cs="Arial"/>
                <w:sz w:val="20"/>
                <w:szCs w:val="20"/>
              </w:rPr>
              <w:t>A</w:t>
            </w:r>
            <w:r w:rsidR="00854D8B" w:rsidRPr="00854D8B">
              <w:rPr>
                <w:rFonts w:ascii="Arial" w:hAnsi="Arial" w:cs="Arial"/>
                <w:sz w:val="20"/>
                <w:szCs w:val="20"/>
              </w:rPr>
              <w:t xml:space="preserve">fter the rights issue brokers calculated the capital ratio to be </w:t>
            </w:r>
            <w:r w:rsidRPr="000E2836">
              <w:rPr>
                <w:rFonts w:ascii="Arial" w:hAnsi="Arial" w:cs="Arial"/>
                <w:sz w:val="20"/>
                <w:szCs w:val="20"/>
              </w:rPr>
              <w:t>10.4</w:t>
            </w:r>
            <w:r w:rsidR="00854D8B">
              <w:rPr>
                <w:rFonts w:ascii="Arial" w:hAnsi="Arial" w:cs="Arial"/>
                <w:sz w:val="20"/>
                <w:szCs w:val="20"/>
              </w:rPr>
              <w:t>%</w:t>
            </w:r>
            <w:r w:rsidRPr="000E2836">
              <w:rPr>
                <w:rFonts w:ascii="Arial" w:hAnsi="Arial" w:cs="Arial"/>
                <w:sz w:val="20"/>
                <w:szCs w:val="20"/>
              </w:rPr>
              <w:t xml:space="preserve"> following the rights issue.</w:t>
            </w:r>
          </w:p>
        </w:tc>
      </w:tr>
      <w:tr w:rsidR="002B1BEA" w:rsidTr="00F340C0">
        <w:trPr>
          <w:trHeight w:val="592"/>
        </w:trPr>
        <w:tc>
          <w:tcPr>
            <w:tcW w:w="2055" w:type="dxa"/>
          </w:tcPr>
          <w:p w:rsidR="00B76F56" w:rsidRPr="000E2836" w:rsidRDefault="000F251A" w:rsidP="00513E6C">
            <w:pPr>
              <w:pStyle w:val="BodyText"/>
              <w:rPr>
                <w:rFonts w:ascii="Arial" w:hAnsi="Arial" w:cs="Arial"/>
                <w:sz w:val="20"/>
                <w:szCs w:val="20"/>
              </w:rPr>
            </w:pPr>
            <w:r>
              <w:rPr>
                <w:rFonts w:ascii="Arial" w:hAnsi="Arial" w:cs="Arial"/>
                <w:sz w:val="20"/>
                <w:szCs w:val="20"/>
              </w:rPr>
              <w:t>30 June 2014</w:t>
            </w:r>
          </w:p>
        </w:tc>
        <w:tc>
          <w:tcPr>
            <w:tcW w:w="7095" w:type="dxa"/>
          </w:tcPr>
          <w:p w:rsidR="00B76F56" w:rsidRPr="000E2836" w:rsidRDefault="000F251A" w:rsidP="00B76F56">
            <w:pPr>
              <w:pStyle w:val="BodyText"/>
              <w:rPr>
                <w:rFonts w:ascii="Arial" w:hAnsi="Arial" w:cs="Arial"/>
                <w:sz w:val="20"/>
                <w:szCs w:val="20"/>
              </w:rPr>
            </w:pPr>
            <w:r>
              <w:rPr>
                <w:rFonts w:ascii="Arial" w:hAnsi="Arial" w:cs="Arial"/>
                <w:sz w:val="20"/>
                <w:szCs w:val="20"/>
              </w:rPr>
              <w:t>BES, as borrower, and Oak Finance, as lender, enter into a Loan Agreement, with drawdown of funds to occur on 3 July 2014.</w:t>
            </w:r>
          </w:p>
        </w:tc>
      </w:tr>
      <w:tr w:rsidR="002B1BEA" w:rsidTr="00655099">
        <w:trPr>
          <w:trHeight w:val="70"/>
        </w:trPr>
        <w:tc>
          <w:tcPr>
            <w:tcW w:w="2055" w:type="dxa"/>
          </w:tcPr>
          <w:p w:rsidR="00AA3F7F" w:rsidRPr="000E2836" w:rsidRDefault="000F251A" w:rsidP="00000AE8">
            <w:pPr>
              <w:pStyle w:val="BodyText"/>
              <w:rPr>
                <w:rFonts w:ascii="Arial" w:hAnsi="Arial" w:cs="Arial"/>
                <w:sz w:val="20"/>
                <w:szCs w:val="20"/>
              </w:rPr>
            </w:pPr>
            <w:r w:rsidRPr="000E2836">
              <w:rPr>
                <w:rFonts w:ascii="Arial" w:hAnsi="Arial" w:cs="Arial"/>
                <w:sz w:val="20"/>
                <w:szCs w:val="20"/>
              </w:rPr>
              <w:t>2 July 2014</w:t>
            </w:r>
          </w:p>
        </w:tc>
        <w:tc>
          <w:tcPr>
            <w:tcW w:w="7095" w:type="dxa"/>
          </w:tcPr>
          <w:p w:rsidR="00AA3F7F" w:rsidRPr="000E2836" w:rsidRDefault="000F251A" w:rsidP="007B2E73">
            <w:pPr>
              <w:pStyle w:val="BodyText"/>
              <w:rPr>
                <w:rFonts w:ascii="Arial" w:hAnsi="Arial" w:cs="Arial"/>
                <w:sz w:val="20"/>
                <w:szCs w:val="20"/>
              </w:rPr>
            </w:pPr>
            <w:r w:rsidRPr="000E2836">
              <w:rPr>
                <w:rFonts w:ascii="Arial" w:hAnsi="Arial" w:cs="Arial"/>
                <w:sz w:val="20"/>
                <w:szCs w:val="20"/>
              </w:rPr>
              <w:t>The Bank of Portugal publically states that BES has a “solid solvency position”.</w:t>
            </w:r>
          </w:p>
        </w:tc>
      </w:tr>
      <w:tr w:rsidR="002B1BEA" w:rsidTr="00B4082F">
        <w:trPr>
          <w:trHeight w:val="655"/>
        </w:trPr>
        <w:tc>
          <w:tcPr>
            <w:tcW w:w="2055" w:type="dxa"/>
          </w:tcPr>
          <w:p w:rsidR="00655099" w:rsidRPr="000E2836" w:rsidRDefault="000F251A" w:rsidP="00655099">
            <w:pPr>
              <w:pStyle w:val="BodyText"/>
              <w:rPr>
                <w:rFonts w:ascii="Arial" w:hAnsi="Arial" w:cs="Arial"/>
                <w:sz w:val="20"/>
                <w:szCs w:val="20"/>
              </w:rPr>
            </w:pPr>
            <w:r w:rsidRPr="000E2836">
              <w:rPr>
                <w:rFonts w:ascii="Arial" w:hAnsi="Arial" w:cs="Arial"/>
                <w:sz w:val="20"/>
                <w:szCs w:val="20"/>
              </w:rPr>
              <w:t>3 July 2014</w:t>
            </w:r>
          </w:p>
        </w:tc>
        <w:tc>
          <w:tcPr>
            <w:tcW w:w="7095" w:type="dxa"/>
          </w:tcPr>
          <w:p w:rsidR="00655099" w:rsidRPr="000E2836" w:rsidRDefault="000F251A" w:rsidP="00B76F56">
            <w:pPr>
              <w:pStyle w:val="BodyText"/>
              <w:tabs>
                <w:tab w:val="left" w:pos="5262"/>
              </w:tabs>
              <w:rPr>
                <w:rFonts w:ascii="Arial" w:hAnsi="Arial" w:cs="Arial"/>
                <w:sz w:val="20"/>
                <w:szCs w:val="20"/>
              </w:rPr>
            </w:pPr>
            <w:r w:rsidRPr="000E2836">
              <w:rPr>
                <w:rFonts w:ascii="Arial" w:hAnsi="Arial" w:cs="Arial"/>
                <w:sz w:val="20"/>
                <w:szCs w:val="20"/>
              </w:rPr>
              <w:t>US$</w:t>
            </w:r>
            <w:r>
              <w:rPr>
                <w:rFonts w:ascii="Arial" w:hAnsi="Arial" w:cs="Arial"/>
                <w:sz w:val="20"/>
                <w:szCs w:val="20"/>
              </w:rPr>
              <w:t xml:space="preserve">784,600,000 </w:t>
            </w:r>
            <w:r w:rsidRPr="000E2836">
              <w:rPr>
                <w:rFonts w:ascii="Arial" w:hAnsi="Arial" w:cs="Arial"/>
                <w:sz w:val="20"/>
                <w:szCs w:val="20"/>
              </w:rPr>
              <w:t>fixed rate Notes are issued by Oak Finance</w:t>
            </w:r>
            <w:r>
              <w:rPr>
                <w:rFonts w:ascii="Arial" w:hAnsi="Arial" w:cs="Arial"/>
                <w:sz w:val="20"/>
                <w:szCs w:val="20"/>
              </w:rPr>
              <w:t xml:space="preserve"> (including </w:t>
            </w:r>
            <w:r w:rsidRPr="000E2836">
              <w:rPr>
                <w:rFonts w:ascii="Arial" w:hAnsi="Arial" w:cs="Arial"/>
                <w:sz w:val="20"/>
                <w:szCs w:val="20"/>
              </w:rPr>
              <w:t>US$150m of Notes issued</w:t>
            </w:r>
            <w:r>
              <w:rPr>
                <w:rFonts w:ascii="Arial" w:hAnsi="Arial" w:cs="Arial"/>
                <w:sz w:val="20"/>
                <w:szCs w:val="20"/>
              </w:rPr>
              <w:t xml:space="preserve"> to NZSF)</w:t>
            </w:r>
            <w:r w:rsidRPr="000E2836">
              <w:rPr>
                <w:rFonts w:ascii="Arial" w:hAnsi="Arial" w:cs="Arial"/>
                <w:sz w:val="20"/>
                <w:szCs w:val="20"/>
              </w:rPr>
              <w:t xml:space="preserve">.  </w:t>
            </w:r>
            <w:r>
              <w:rPr>
                <w:rFonts w:ascii="Arial" w:hAnsi="Arial" w:cs="Arial"/>
                <w:sz w:val="20"/>
                <w:szCs w:val="20"/>
              </w:rPr>
              <w:t>BES draws down c. US$784,564,000 under the loan from Oak Finance.</w:t>
            </w:r>
          </w:p>
        </w:tc>
      </w:tr>
      <w:tr w:rsidR="002B1BEA" w:rsidTr="00655099">
        <w:trPr>
          <w:trHeight w:val="70"/>
        </w:trPr>
        <w:tc>
          <w:tcPr>
            <w:tcW w:w="2055" w:type="dxa"/>
          </w:tcPr>
          <w:p w:rsidR="00D31AF3" w:rsidRPr="000E2836" w:rsidRDefault="000F251A" w:rsidP="00655099">
            <w:pPr>
              <w:pStyle w:val="BodyText"/>
              <w:rPr>
                <w:rFonts w:ascii="Arial" w:hAnsi="Arial" w:cs="Arial"/>
                <w:sz w:val="20"/>
                <w:szCs w:val="20"/>
              </w:rPr>
            </w:pPr>
            <w:r w:rsidRPr="000E2836">
              <w:rPr>
                <w:rFonts w:ascii="Arial" w:hAnsi="Arial" w:cs="Arial"/>
                <w:sz w:val="20"/>
                <w:szCs w:val="20"/>
              </w:rPr>
              <w:t>10 July 2014</w:t>
            </w:r>
          </w:p>
        </w:tc>
        <w:tc>
          <w:tcPr>
            <w:tcW w:w="7095" w:type="dxa"/>
          </w:tcPr>
          <w:p w:rsidR="00D31AF3" w:rsidRPr="000E2836" w:rsidRDefault="000F251A" w:rsidP="007B2E73">
            <w:pPr>
              <w:pStyle w:val="BodyText"/>
              <w:rPr>
                <w:rFonts w:ascii="Arial" w:hAnsi="Arial" w:cs="Arial"/>
                <w:sz w:val="20"/>
                <w:szCs w:val="20"/>
              </w:rPr>
            </w:pPr>
            <w:r w:rsidRPr="000E2836">
              <w:rPr>
                <w:rFonts w:ascii="Arial" w:hAnsi="Arial" w:cs="Arial"/>
                <w:sz w:val="20"/>
                <w:szCs w:val="20"/>
              </w:rPr>
              <w:t>BES releases an update on its exposure to the wider Espirito Santo group – a total of EUR1.18bn.  BES emphasises that it has a EUR2.1bn capital buffer above the minimum required to cover potential losses.</w:t>
            </w:r>
          </w:p>
        </w:tc>
      </w:tr>
      <w:tr w:rsidR="002B1BEA" w:rsidTr="00655099">
        <w:trPr>
          <w:trHeight w:val="70"/>
        </w:trPr>
        <w:tc>
          <w:tcPr>
            <w:tcW w:w="2055" w:type="dxa"/>
          </w:tcPr>
          <w:p w:rsidR="00AA3F7F" w:rsidRPr="000E2836" w:rsidRDefault="000F251A" w:rsidP="00655099">
            <w:pPr>
              <w:pStyle w:val="BodyText"/>
              <w:rPr>
                <w:rFonts w:ascii="Arial" w:hAnsi="Arial" w:cs="Arial"/>
                <w:sz w:val="20"/>
                <w:szCs w:val="20"/>
              </w:rPr>
            </w:pPr>
            <w:r w:rsidRPr="000E2836">
              <w:rPr>
                <w:rFonts w:ascii="Arial" w:hAnsi="Arial" w:cs="Arial"/>
                <w:sz w:val="20"/>
                <w:szCs w:val="20"/>
              </w:rPr>
              <w:t>14 July 2014</w:t>
            </w:r>
          </w:p>
        </w:tc>
        <w:tc>
          <w:tcPr>
            <w:tcW w:w="7095" w:type="dxa"/>
          </w:tcPr>
          <w:p w:rsidR="00AA3F7F" w:rsidRPr="000E2836" w:rsidRDefault="000F251A" w:rsidP="000E2836">
            <w:pPr>
              <w:pStyle w:val="BodyText"/>
              <w:rPr>
                <w:rFonts w:ascii="Arial" w:hAnsi="Arial" w:cs="Arial"/>
                <w:sz w:val="20"/>
                <w:szCs w:val="20"/>
              </w:rPr>
            </w:pPr>
            <w:r w:rsidRPr="000E2836">
              <w:rPr>
                <w:rFonts w:ascii="Arial" w:hAnsi="Arial" w:cs="Arial"/>
                <w:sz w:val="20"/>
                <w:szCs w:val="20"/>
              </w:rPr>
              <w:t xml:space="preserve">Ricardo Espirito Santo Silva Salgado, the Chairman and CEO of BES, agrees to step down and a new management team is appointed to BES.  This is perceived </w:t>
            </w:r>
            <w:r>
              <w:rPr>
                <w:rFonts w:ascii="Arial" w:hAnsi="Arial" w:cs="Arial"/>
                <w:sz w:val="20"/>
                <w:szCs w:val="20"/>
              </w:rPr>
              <w:t xml:space="preserve">by equity analysts </w:t>
            </w:r>
            <w:r w:rsidRPr="000E2836">
              <w:rPr>
                <w:rFonts w:ascii="Arial" w:hAnsi="Arial" w:cs="Arial"/>
                <w:sz w:val="20"/>
                <w:szCs w:val="20"/>
              </w:rPr>
              <w:t>as a positive move that ensures independence from the major shareholder.</w:t>
            </w:r>
          </w:p>
        </w:tc>
      </w:tr>
      <w:tr w:rsidR="002B1BEA" w:rsidTr="00655099">
        <w:trPr>
          <w:trHeight w:val="70"/>
        </w:trPr>
        <w:tc>
          <w:tcPr>
            <w:tcW w:w="2055" w:type="dxa"/>
          </w:tcPr>
          <w:p w:rsidR="007862CB" w:rsidRPr="000E2836" w:rsidRDefault="000F251A" w:rsidP="00655099">
            <w:pPr>
              <w:pStyle w:val="BodyText"/>
              <w:rPr>
                <w:rFonts w:ascii="Arial" w:hAnsi="Arial" w:cs="Arial"/>
                <w:sz w:val="20"/>
                <w:szCs w:val="20"/>
              </w:rPr>
            </w:pPr>
            <w:r w:rsidRPr="000E2836">
              <w:rPr>
                <w:rFonts w:ascii="Arial" w:hAnsi="Arial" w:cs="Arial"/>
                <w:sz w:val="20"/>
                <w:szCs w:val="20"/>
              </w:rPr>
              <w:t>18 July 2014</w:t>
            </w:r>
          </w:p>
        </w:tc>
        <w:tc>
          <w:tcPr>
            <w:tcW w:w="7095" w:type="dxa"/>
          </w:tcPr>
          <w:p w:rsidR="007862CB" w:rsidRPr="000E2836" w:rsidRDefault="005E71ED" w:rsidP="00F340C0">
            <w:r w:rsidRPr="005E71ED">
              <w:rPr>
                <w:rFonts w:ascii="Arial" w:hAnsi="Arial" w:cs="Arial"/>
                <w:sz w:val="20"/>
                <w:szCs w:val="20"/>
                <w:lang w:bidi="ar-SA"/>
              </w:rPr>
              <w:t>The Governor of the Bank of Portugal gives a speech to the Portuguese Parliamentary Budget and Public Administration Committee regarding BES and reiterates that BES “… has an adequate capital buffer…”.</w:t>
            </w:r>
          </w:p>
        </w:tc>
      </w:tr>
      <w:tr w:rsidR="002B1BEA" w:rsidTr="00BC1C2F">
        <w:trPr>
          <w:trHeight w:val="975"/>
        </w:trPr>
        <w:tc>
          <w:tcPr>
            <w:tcW w:w="2055" w:type="dxa"/>
          </w:tcPr>
          <w:p w:rsidR="00BC1C2F" w:rsidRPr="000E2836" w:rsidRDefault="000F251A" w:rsidP="00513E6C">
            <w:pPr>
              <w:pStyle w:val="BodyText"/>
              <w:rPr>
                <w:rFonts w:ascii="Arial" w:hAnsi="Arial" w:cs="Arial"/>
                <w:sz w:val="20"/>
                <w:szCs w:val="20"/>
              </w:rPr>
            </w:pPr>
            <w:r w:rsidRPr="000F251A">
              <w:rPr>
                <w:rFonts w:ascii="Arial" w:hAnsi="Arial" w:cs="Arial"/>
                <w:sz w:val="20"/>
                <w:szCs w:val="20"/>
              </w:rPr>
              <w:t>15</w:t>
            </w:r>
            <w:r w:rsidRPr="00B76F56">
              <w:rPr>
                <w:rFonts w:ascii="Arial" w:hAnsi="Arial" w:cs="Arial"/>
                <w:sz w:val="20"/>
                <w:szCs w:val="20"/>
              </w:rPr>
              <w:t>-</w:t>
            </w:r>
            <w:r w:rsidRPr="000F251A">
              <w:rPr>
                <w:rFonts w:ascii="Arial" w:hAnsi="Arial" w:cs="Arial"/>
                <w:sz w:val="20"/>
                <w:szCs w:val="20"/>
              </w:rPr>
              <w:t>23</w:t>
            </w:r>
            <w:r w:rsidRPr="000E2836">
              <w:rPr>
                <w:rFonts w:ascii="Arial" w:hAnsi="Arial" w:cs="Arial"/>
                <w:sz w:val="20"/>
                <w:szCs w:val="20"/>
              </w:rPr>
              <w:t xml:space="preserve"> July 2014</w:t>
            </w:r>
          </w:p>
          <w:p w:rsidR="00BC1C2F" w:rsidRPr="000E2836" w:rsidRDefault="00A26081" w:rsidP="00513E6C">
            <w:pPr>
              <w:pStyle w:val="BodyText"/>
              <w:rPr>
                <w:rFonts w:ascii="Arial" w:hAnsi="Arial" w:cs="Arial"/>
                <w:sz w:val="20"/>
                <w:szCs w:val="20"/>
              </w:rPr>
            </w:pPr>
          </w:p>
        </w:tc>
        <w:tc>
          <w:tcPr>
            <w:tcW w:w="7095" w:type="dxa"/>
          </w:tcPr>
          <w:p w:rsidR="008E2B59" w:rsidRPr="005351F9" w:rsidRDefault="000F251A" w:rsidP="008E2B59">
            <w:pPr>
              <w:pStyle w:val="BodyText"/>
              <w:spacing w:after="200"/>
              <w:rPr>
                <w:rFonts w:ascii="Arial" w:hAnsi="Arial" w:cs="Arial"/>
                <w:sz w:val="20"/>
                <w:szCs w:val="20"/>
              </w:rPr>
            </w:pPr>
            <w:r w:rsidRPr="000E2836">
              <w:rPr>
                <w:rFonts w:ascii="Arial" w:hAnsi="Arial" w:cs="Arial"/>
                <w:sz w:val="20"/>
                <w:szCs w:val="20"/>
              </w:rPr>
              <w:t xml:space="preserve">Goldman Sachs </w:t>
            </w:r>
            <w:r w:rsidR="002277B1">
              <w:rPr>
                <w:rFonts w:ascii="Arial" w:hAnsi="Arial" w:cs="Arial"/>
                <w:sz w:val="20"/>
                <w:szCs w:val="20"/>
              </w:rPr>
              <w:t>borrow</w:t>
            </w:r>
            <w:r w:rsidR="008E2B59">
              <w:rPr>
                <w:rFonts w:ascii="Arial" w:hAnsi="Arial" w:cs="Arial"/>
                <w:sz w:val="20"/>
                <w:szCs w:val="20"/>
              </w:rPr>
              <w:t>s</w:t>
            </w:r>
            <w:r w:rsidR="002277B1">
              <w:rPr>
                <w:rFonts w:ascii="Arial" w:hAnsi="Arial" w:cs="Arial"/>
                <w:sz w:val="20"/>
                <w:szCs w:val="20"/>
              </w:rPr>
              <w:t xml:space="preserve"> shares in BES on 15 July as part of its client-facilitation activity. </w:t>
            </w:r>
            <w:r w:rsidRPr="000E2836">
              <w:rPr>
                <w:rFonts w:ascii="Arial" w:hAnsi="Arial" w:cs="Arial"/>
                <w:sz w:val="20"/>
                <w:szCs w:val="20"/>
              </w:rPr>
              <w:t xml:space="preserve">This </w:t>
            </w:r>
            <w:r w:rsidR="008E2B59" w:rsidRPr="000E2836">
              <w:rPr>
                <w:rFonts w:ascii="Arial" w:hAnsi="Arial" w:cs="Arial"/>
                <w:sz w:val="20"/>
                <w:szCs w:val="20"/>
              </w:rPr>
              <w:t>trigger</w:t>
            </w:r>
            <w:r w:rsidR="008E2B59">
              <w:rPr>
                <w:rFonts w:ascii="Arial" w:hAnsi="Arial" w:cs="Arial"/>
                <w:sz w:val="20"/>
                <w:szCs w:val="20"/>
              </w:rPr>
              <w:t>s</w:t>
            </w:r>
            <w:r w:rsidRPr="000E2836">
              <w:rPr>
                <w:rFonts w:ascii="Arial" w:hAnsi="Arial" w:cs="Arial"/>
                <w:sz w:val="20"/>
                <w:szCs w:val="20"/>
              </w:rPr>
              <w:t xml:space="preserve">a </w:t>
            </w:r>
            <w:r>
              <w:rPr>
                <w:rFonts w:ascii="Arial" w:hAnsi="Arial" w:cs="Arial"/>
                <w:sz w:val="20"/>
                <w:szCs w:val="20"/>
              </w:rPr>
              <w:t xml:space="preserve">pro forma </w:t>
            </w:r>
            <w:r w:rsidRPr="000E2836">
              <w:rPr>
                <w:rFonts w:ascii="Arial" w:hAnsi="Arial" w:cs="Arial"/>
                <w:sz w:val="20"/>
                <w:szCs w:val="20"/>
              </w:rPr>
              <w:t>disclosure</w:t>
            </w:r>
            <w:r>
              <w:rPr>
                <w:rFonts w:ascii="Arial" w:hAnsi="Arial" w:cs="Arial"/>
                <w:sz w:val="20"/>
                <w:szCs w:val="20"/>
              </w:rPr>
              <w:t xml:space="preserve"> by Goldman Sachs</w:t>
            </w:r>
            <w:r w:rsidRPr="000E2836">
              <w:rPr>
                <w:rFonts w:ascii="Arial" w:hAnsi="Arial" w:cs="Arial"/>
                <w:sz w:val="20"/>
                <w:szCs w:val="20"/>
              </w:rPr>
              <w:t xml:space="preserve"> under EU transparency rules</w:t>
            </w:r>
            <w:r>
              <w:rPr>
                <w:rFonts w:ascii="Arial" w:hAnsi="Arial" w:cs="Arial"/>
                <w:sz w:val="20"/>
                <w:szCs w:val="20"/>
              </w:rPr>
              <w:t xml:space="preserve"> setting out a greater tha</w:t>
            </w:r>
            <w:r w:rsidRPr="00B4082F">
              <w:rPr>
                <w:rFonts w:ascii="Arial" w:hAnsi="Arial" w:cs="Arial"/>
                <w:sz w:val="20"/>
                <w:szCs w:val="20"/>
              </w:rPr>
              <w:t>n 2%</w:t>
            </w:r>
            <w:r>
              <w:rPr>
                <w:rFonts w:ascii="Arial" w:hAnsi="Arial" w:cs="Arial"/>
                <w:sz w:val="20"/>
                <w:szCs w:val="20"/>
              </w:rPr>
              <w:t xml:space="preserve"> holding in BES. </w:t>
            </w:r>
            <w:r w:rsidR="002277B1">
              <w:rPr>
                <w:rFonts w:ascii="Arial" w:hAnsi="Arial" w:cs="Arial"/>
                <w:sz w:val="20"/>
                <w:szCs w:val="20"/>
              </w:rPr>
              <w:t xml:space="preserve">Goldman Sachs’ physical holding was 1.6% with </w:t>
            </w:r>
            <w:r w:rsidR="008E2B59" w:rsidRPr="005351F9">
              <w:rPr>
                <w:rFonts w:ascii="Arial" w:hAnsi="Arial" w:cs="Arial"/>
                <w:sz w:val="20"/>
                <w:szCs w:val="20"/>
              </w:rPr>
              <w:t xml:space="preserve">the balance </w:t>
            </w:r>
            <w:r w:rsidR="008E2B59">
              <w:rPr>
                <w:rFonts w:ascii="Arial" w:hAnsi="Arial" w:cs="Arial"/>
                <w:sz w:val="20"/>
                <w:szCs w:val="20"/>
              </w:rPr>
              <w:t xml:space="preserve">of 0.67% being </w:t>
            </w:r>
            <w:r w:rsidR="008E2B59" w:rsidRPr="005351F9">
              <w:rPr>
                <w:rFonts w:ascii="Arial" w:hAnsi="Arial" w:cs="Arial"/>
                <w:sz w:val="20"/>
                <w:szCs w:val="20"/>
              </w:rPr>
              <w:t xml:space="preserve">Goldman’s interest in cash settled swaps, which did not carry any voting interest in </w:t>
            </w:r>
            <w:r w:rsidR="008E2B59">
              <w:rPr>
                <w:rFonts w:ascii="Arial" w:hAnsi="Arial" w:cs="Arial"/>
                <w:sz w:val="20"/>
                <w:szCs w:val="20"/>
              </w:rPr>
              <w:t>n</w:t>
            </w:r>
            <w:r w:rsidR="008E2B59" w:rsidRPr="005351F9">
              <w:rPr>
                <w:rFonts w:ascii="Arial" w:hAnsi="Arial" w:cs="Arial"/>
                <w:sz w:val="20"/>
                <w:szCs w:val="20"/>
              </w:rPr>
              <w:t>or right to acquire BES shares.</w:t>
            </w:r>
          </w:p>
          <w:p w:rsidR="00BC1C2F" w:rsidRPr="000E2836" w:rsidRDefault="000F251A" w:rsidP="008E2B59">
            <w:pPr>
              <w:pStyle w:val="BodyText"/>
              <w:rPr>
                <w:rFonts w:ascii="Arial" w:hAnsi="Arial" w:cs="Arial"/>
                <w:sz w:val="20"/>
                <w:szCs w:val="20"/>
              </w:rPr>
            </w:pPr>
            <w:r>
              <w:rPr>
                <w:rFonts w:ascii="Arial" w:hAnsi="Arial" w:cs="Arial"/>
                <w:sz w:val="20"/>
                <w:szCs w:val="20"/>
              </w:rPr>
              <w:t>The disclosableposition ended</w:t>
            </w:r>
            <w:r w:rsidRPr="000E2836">
              <w:rPr>
                <w:rFonts w:ascii="Arial" w:hAnsi="Arial" w:cs="Arial"/>
                <w:sz w:val="20"/>
                <w:szCs w:val="20"/>
              </w:rPr>
              <w:t xml:space="preserve"> on 23 July </w:t>
            </w:r>
            <w:r w:rsidR="002277B1">
              <w:rPr>
                <w:rFonts w:ascii="Arial" w:hAnsi="Arial" w:cs="Arial"/>
                <w:sz w:val="20"/>
                <w:szCs w:val="20"/>
              </w:rPr>
              <w:t>with Goldman Sachs returning the borrowed shares.</w:t>
            </w:r>
          </w:p>
        </w:tc>
      </w:tr>
      <w:tr w:rsidR="002B1BEA" w:rsidTr="00BC1C2F">
        <w:trPr>
          <w:trHeight w:val="975"/>
        </w:trPr>
        <w:tc>
          <w:tcPr>
            <w:tcW w:w="2055" w:type="dxa"/>
          </w:tcPr>
          <w:p w:rsidR="00D31AF3" w:rsidRPr="000E2836" w:rsidRDefault="000F251A" w:rsidP="00513E6C">
            <w:pPr>
              <w:pStyle w:val="BodyText"/>
              <w:rPr>
                <w:rFonts w:ascii="Arial" w:hAnsi="Arial" w:cs="Arial"/>
                <w:sz w:val="20"/>
                <w:szCs w:val="20"/>
              </w:rPr>
            </w:pPr>
            <w:r w:rsidRPr="000E2836">
              <w:rPr>
                <w:rFonts w:ascii="Arial" w:hAnsi="Arial" w:cs="Arial"/>
                <w:sz w:val="20"/>
                <w:szCs w:val="20"/>
              </w:rPr>
              <w:t>24 July 2014</w:t>
            </w:r>
          </w:p>
        </w:tc>
        <w:tc>
          <w:tcPr>
            <w:tcW w:w="7095" w:type="dxa"/>
          </w:tcPr>
          <w:p w:rsidR="00D31AF3" w:rsidRPr="000E2836" w:rsidRDefault="000F251A" w:rsidP="00234853">
            <w:pPr>
              <w:pStyle w:val="BodyText"/>
              <w:rPr>
                <w:rFonts w:ascii="Arial" w:hAnsi="Arial" w:cs="Arial"/>
                <w:sz w:val="20"/>
                <w:szCs w:val="20"/>
              </w:rPr>
            </w:pPr>
            <w:r w:rsidRPr="000E2836">
              <w:rPr>
                <w:rFonts w:ascii="Arial" w:hAnsi="Arial" w:cs="Arial"/>
                <w:sz w:val="20"/>
                <w:szCs w:val="20"/>
              </w:rPr>
              <w:t xml:space="preserve">Ricardo Espirito Santo Silva Salgado, the Chairman and CEO of BES, is </w:t>
            </w:r>
            <w:r>
              <w:rPr>
                <w:rFonts w:ascii="Arial" w:hAnsi="Arial" w:cs="Arial"/>
                <w:sz w:val="20"/>
                <w:szCs w:val="20"/>
              </w:rPr>
              <w:t xml:space="preserve">detained for questioning and released on EUR 3 million bail </w:t>
            </w:r>
            <w:r w:rsidRPr="000E2836">
              <w:rPr>
                <w:rFonts w:ascii="Arial" w:hAnsi="Arial" w:cs="Arial"/>
                <w:sz w:val="20"/>
                <w:szCs w:val="20"/>
              </w:rPr>
              <w:t>on suspicion of fraud, money-laundering</w:t>
            </w:r>
            <w:r>
              <w:rPr>
                <w:rFonts w:ascii="Arial" w:hAnsi="Arial" w:cs="Arial"/>
                <w:sz w:val="20"/>
                <w:szCs w:val="20"/>
              </w:rPr>
              <w:t xml:space="preserve">, </w:t>
            </w:r>
            <w:r w:rsidRPr="000E2836">
              <w:rPr>
                <w:rFonts w:ascii="Arial" w:hAnsi="Arial" w:cs="Arial"/>
                <w:sz w:val="20"/>
                <w:szCs w:val="20"/>
              </w:rPr>
              <w:t>document falsification</w:t>
            </w:r>
            <w:r>
              <w:rPr>
                <w:rFonts w:ascii="Arial" w:hAnsi="Arial" w:cs="Arial"/>
                <w:sz w:val="20"/>
                <w:szCs w:val="20"/>
              </w:rPr>
              <w:t xml:space="preserve"> and embezzlement</w:t>
            </w:r>
            <w:r w:rsidRPr="000E2836">
              <w:rPr>
                <w:rFonts w:ascii="Arial" w:hAnsi="Arial" w:cs="Arial"/>
                <w:sz w:val="20"/>
                <w:szCs w:val="20"/>
              </w:rPr>
              <w:t>.</w:t>
            </w:r>
          </w:p>
        </w:tc>
      </w:tr>
      <w:tr w:rsidR="002B1BEA" w:rsidTr="00F340C0">
        <w:trPr>
          <w:trHeight w:val="445"/>
        </w:trPr>
        <w:tc>
          <w:tcPr>
            <w:tcW w:w="2055" w:type="dxa"/>
          </w:tcPr>
          <w:p w:rsidR="00D31AF3" w:rsidRPr="000E2836" w:rsidRDefault="000F251A" w:rsidP="00513E6C">
            <w:pPr>
              <w:pStyle w:val="BodyText"/>
              <w:rPr>
                <w:rFonts w:ascii="Arial" w:hAnsi="Arial" w:cs="Arial"/>
                <w:sz w:val="20"/>
                <w:szCs w:val="20"/>
              </w:rPr>
            </w:pPr>
            <w:r w:rsidRPr="000E2836">
              <w:rPr>
                <w:rFonts w:ascii="Arial" w:hAnsi="Arial" w:cs="Arial"/>
                <w:sz w:val="20"/>
                <w:szCs w:val="20"/>
              </w:rPr>
              <w:t>30 July 2014</w:t>
            </w:r>
          </w:p>
        </w:tc>
        <w:tc>
          <w:tcPr>
            <w:tcW w:w="7095" w:type="dxa"/>
          </w:tcPr>
          <w:p w:rsidR="00D31AF3" w:rsidRPr="000E2836" w:rsidRDefault="000F251A" w:rsidP="00D31AF3">
            <w:pPr>
              <w:jc w:val="both"/>
              <w:rPr>
                <w:rFonts w:ascii="Arial" w:hAnsi="Arial" w:cs="Arial"/>
                <w:sz w:val="20"/>
                <w:szCs w:val="20"/>
              </w:rPr>
            </w:pPr>
            <w:r w:rsidRPr="000E2836">
              <w:rPr>
                <w:rFonts w:ascii="Arial" w:hAnsi="Arial" w:cs="Arial"/>
                <w:sz w:val="20"/>
                <w:szCs w:val="20"/>
              </w:rPr>
              <w:t xml:space="preserve">BES’ new management report a half year loss of EUR3.6bn.  The results include provisions for new and unexpected exposure to the shareholder group for EUR1.2bn which had not been previously reported and did not appear to have been correctly approved internally.  </w:t>
            </w:r>
          </w:p>
          <w:p w:rsidR="00D31AF3" w:rsidRPr="000E2836" w:rsidRDefault="000F251A" w:rsidP="00D31AF3">
            <w:pPr>
              <w:jc w:val="both"/>
              <w:rPr>
                <w:rFonts w:ascii="Arial" w:hAnsi="Arial" w:cs="Arial"/>
                <w:sz w:val="20"/>
                <w:szCs w:val="20"/>
              </w:rPr>
            </w:pPr>
            <w:r w:rsidRPr="000E2836">
              <w:rPr>
                <w:rFonts w:ascii="Arial" w:hAnsi="Arial" w:cs="Arial"/>
                <w:sz w:val="20"/>
                <w:szCs w:val="20"/>
              </w:rPr>
              <w:lastRenderedPageBreak/>
              <w:t>The losses dropped BES’ Tier 1 Capital Ratio to 5% - below the Bank of Portugal’s 7% minimum and also below the ECB’s 8% stress test threshold.</w:t>
            </w:r>
          </w:p>
          <w:p w:rsidR="00D31AF3" w:rsidRPr="000E2836" w:rsidRDefault="000F251A" w:rsidP="00D31AF3">
            <w:pPr>
              <w:jc w:val="both"/>
              <w:rPr>
                <w:rFonts w:ascii="Arial" w:hAnsi="Arial" w:cs="Arial"/>
                <w:sz w:val="20"/>
                <w:szCs w:val="20"/>
              </w:rPr>
            </w:pPr>
            <w:r w:rsidRPr="000E2836">
              <w:rPr>
                <w:rFonts w:ascii="Arial" w:hAnsi="Arial" w:cs="Arial"/>
                <w:sz w:val="20"/>
                <w:szCs w:val="20"/>
              </w:rPr>
              <w:t>BES’ new CEO said that the announcement “… seems to indicate the existence of possible breach of legal rules…” by the previous management.</w:t>
            </w:r>
          </w:p>
          <w:p w:rsidR="00D31AF3" w:rsidRPr="000E2836" w:rsidRDefault="000F251A" w:rsidP="007C21A4">
            <w:pPr>
              <w:jc w:val="both"/>
              <w:rPr>
                <w:rFonts w:ascii="Arial" w:hAnsi="Arial" w:cs="Arial"/>
                <w:sz w:val="20"/>
                <w:szCs w:val="20"/>
              </w:rPr>
            </w:pPr>
            <w:r w:rsidRPr="000E2836">
              <w:rPr>
                <w:rFonts w:ascii="Arial" w:hAnsi="Arial" w:cs="Arial"/>
                <w:sz w:val="20"/>
                <w:szCs w:val="20"/>
              </w:rPr>
              <w:t>The Bank of Portugal suspend senior management in BES’ risk, internal audit and compliance departments.</w:t>
            </w:r>
          </w:p>
        </w:tc>
      </w:tr>
      <w:tr w:rsidR="002B1BEA" w:rsidTr="00655099">
        <w:trPr>
          <w:trHeight w:val="536"/>
        </w:trPr>
        <w:tc>
          <w:tcPr>
            <w:tcW w:w="2055" w:type="dxa"/>
          </w:tcPr>
          <w:p w:rsidR="00BC1C2F" w:rsidRPr="000E2836" w:rsidRDefault="000F251A" w:rsidP="00513E6C">
            <w:pPr>
              <w:pStyle w:val="BodyText"/>
              <w:rPr>
                <w:rFonts w:ascii="Arial" w:hAnsi="Arial" w:cs="Arial"/>
                <w:sz w:val="20"/>
                <w:szCs w:val="20"/>
              </w:rPr>
            </w:pPr>
            <w:r w:rsidRPr="000F251A">
              <w:rPr>
                <w:rFonts w:ascii="Arial" w:hAnsi="Arial" w:cs="Arial"/>
                <w:sz w:val="20"/>
                <w:szCs w:val="20"/>
              </w:rPr>
              <w:lastRenderedPageBreak/>
              <w:t>1</w:t>
            </w:r>
            <w:r w:rsidRPr="000E2836">
              <w:rPr>
                <w:rFonts w:ascii="Arial" w:hAnsi="Arial" w:cs="Arial"/>
                <w:sz w:val="20"/>
                <w:szCs w:val="20"/>
              </w:rPr>
              <w:t xml:space="preserve"> August 2014</w:t>
            </w:r>
          </w:p>
        </w:tc>
        <w:tc>
          <w:tcPr>
            <w:tcW w:w="7095" w:type="dxa"/>
          </w:tcPr>
          <w:p w:rsidR="00BC1C2F" w:rsidRPr="000E2836" w:rsidRDefault="000F251A" w:rsidP="001A4400">
            <w:pPr>
              <w:pStyle w:val="BodyText"/>
              <w:rPr>
                <w:rFonts w:ascii="Arial" w:hAnsi="Arial" w:cs="Arial"/>
                <w:sz w:val="20"/>
                <w:szCs w:val="20"/>
              </w:rPr>
            </w:pPr>
            <w:r w:rsidRPr="000E2836">
              <w:rPr>
                <w:rFonts w:ascii="Arial" w:hAnsi="Arial" w:cs="Arial"/>
                <w:sz w:val="20"/>
                <w:szCs w:val="20"/>
              </w:rPr>
              <w:t xml:space="preserve">Amendment to the Portuguese bank </w:t>
            </w:r>
            <w:r>
              <w:rPr>
                <w:rFonts w:ascii="Arial" w:hAnsi="Arial" w:cs="Arial"/>
                <w:sz w:val="20"/>
                <w:szCs w:val="20"/>
              </w:rPr>
              <w:t xml:space="preserve">resolution </w:t>
            </w:r>
            <w:r w:rsidRPr="000E2836">
              <w:rPr>
                <w:rFonts w:ascii="Arial" w:hAnsi="Arial" w:cs="Arial"/>
                <w:sz w:val="20"/>
                <w:szCs w:val="20"/>
              </w:rPr>
              <w:t>regime</w:t>
            </w:r>
            <w:r>
              <w:rPr>
                <w:rFonts w:ascii="Arial" w:hAnsi="Arial" w:cs="Arial"/>
                <w:sz w:val="20"/>
                <w:szCs w:val="20"/>
              </w:rPr>
              <w:t xml:space="preserve">, provided in the </w:t>
            </w:r>
            <w:r w:rsidRPr="000E2836">
              <w:rPr>
                <w:rFonts w:ascii="Arial" w:hAnsi="Arial" w:cs="Arial"/>
                <w:sz w:val="20"/>
                <w:szCs w:val="20"/>
              </w:rPr>
              <w:t xml:space="preserve">Portuguese Legal Framework of Credit Institutions and Financial Companies, approved by Decree-Law 298/92, dated 31 December 1992, purporting to stop claims from shareholders with a holding </w:t>
            </w:r>
            <w:r>
              <w:rPr>
                <w:rFonts w:ascii="Arial" w:hAnsi="Arial" w:cs="Arial"/>
                <w:sz w:val="20"/>
                <w:szCs w:val="20"/>
              </w:rPr>
              <w:t xml:space="preserve">equal to or </w:t>
            </w:r>
            <w:r w:rsidRPr="000E2836">
              <w:rPr>
                <w:rFonts w:ascii="Arial" w:hAnsi="Arial" w:cs="Arial"/>
                <w:sz w:val="20"/>
                <w:szCs w:val="20"/>
              </w:rPr>
              <w:t>greater than 2% in banks in a resolution process moving to new banks</w:t>
            </w:r>
            <w:r>
              <w:rPr>
                <w:rFonts w:ascii="Arial" w:hAnsi="Arial" w:cs="Arial"/>
                <w:sz w:val="20"/>
                <w:szCs w:val="20"/>
              </w:rPr>
              <w:t xml:space="preserve"> established under the process</w:t>
            </w:r>
            <w:r w:rsidRPr="000E2836">
              <w:rPr>
                <w:rFonts w:ascii="Arial" w:hAnsi="Arial" w:cs="Arial"/>
                <w:sz w:val="20"/>
                <w:szCs w:val="20"/>
              </w:rPr>
              <w:t>. This amendment purported to include a look-back period of 2 years.</w:t>
            </w:r>
            <w:r>
              <w:rPr>
                <w:rFonts w:ascii="Arial" w:hAnsi="Arial" w:cs="Arial"/>
                <w:sz w:val="20"/>
                <w:szCs w:val="20"/>
              </w:rPr>
              <w:t xml:space="preserve"> The previous regime, in force since February 2012, did not set out a </w:t>
            </w:r>
            <w:r w:rsidRPr="000F251A">
              <w:rPr>
                <w:rFonts w:ascii="Arial" w:hAnsi="Arial" w:cs="Arial"/>
                <w:i/>
                <w:sz w:val="20"/>
                <w:szCs w:val="20"/>
              </w:rPr>
              <w:t>de minimis</w:t>
            </w:r>
            <w:r>
              <w:rPr>
                <w:rFonts w:ascii="Arial" w:hAnsi="Arial" w:cs="Arial"/>
                <w:sz w:val="20"/>
                <w:szCs w:val="20"/>
              </w:rPr>
              <w:t xml:space="preserve"> threshold but it also did not set out any look-back period.</w:t>
            </w:r>
          </w:p>
        </w:tc>
      </w:tr>
      <w:tr w:rsidR="002B1BEA" w:rsidTr="00655099">
        <w:trPr>
          <w:trHeight w:val="576"/>
        </w:trPr>
        <w:tc>
          <w:tcPr>
            <w:tcW w:w="2055" w:type="dxa"/>
          </w:tcPr>
          <w:p w:rsidR="00655099" w:rsidRPr="000E2836" w:rsidRDefault="000F251A" w:rsidP="00513E6C">
            <w:pPr>
              <w:pStyle w:val="BodyText"/>
              <w:rPr>
                <w:rFonts w:ascii="Arial" w:hAnsi="Arial" w:cs="Arial"/>
                <w:sz w:val="20"/>
                <w:szCs w:val="20"/>
              </w:rPr>
            </w:pPr>
            <w:r w:rsidRPr="000E2836">
              <w:rPr>
                <w:rFonts w:ascii="Arial" w:hAnsi="Arial" w:cs="Arial"/>
                <w:sz w:val="20"/>
                <w:szCs w:val="20"/>
              </w:rPr>
              <w:t>3 August 2014</w:t>
            </w:r>
          </w:p>
        </w:tc>
        <w:tc>
          <w:tcPr>
            <w:tcW w:w="7095" w:type="dxa"/>
          </w:tcPr>
          <w:p w:rsidR="00655099" w:rsidRPr="000E2836" w:rsidRDefault="000F251A" w:rsidP="00347636">
            <w:pPr>
              <w:pStyle w:val="BodyText"/>
              <w:rPr>
                <w:rFonts w:ascii="Arial" w:hAnsi="Arial" w:cs="Arial"/>
                <w:sz w:val="20"/>
                <w:szCs w:val="20"/>
              </w:rPr>
            </w:pPr>
            <w:r w:rsidRPr="000E2836">
              <w:rPr>
                <w:rFonts w:ascii="Arial" w:hAnsi="Arial" w:cs="Arial"/>
                <w:sz w:val="20"/>
                <w:szCs w:val="20"/>
              </w:rPr>
              <w:t>Resolution measures applied to BES, pursuant to the Portuguese Legal Framework of Credit Institutions and Financial Companies, approved by Decree-Law 298/92, dated 31 December 1992. Bank of Portugal announces the transfer of certain assets and liabilities to Novo Banco.</w:t>
            </w:r>
          </w:p>
        </w:tc>
      </w:tr>
      <w:tr w:rsidR="002B1BEA" w:rsidTr="00655099">
        <w:trPr>
          <w:trHeight w:val="576"/>
        </w:trPr>
        <w:tc>
          <w:tcPr>
            <w:tcW w:w="2055" w:type="dxa"/>
          </w:tcPr>
          <w:p w:rsidR="00535F38" w:rsidRPr="000E2836" w:rsidRDefault="000F251A" w:rsidP="00513E6C">
            <w:pPr>
              <w:pStyle w:val="BodyText"/>
              <w:rPr>
                <w:rFonts w:ascii="Arial" w:hAnsi="Arial" w:cs="Arial"/>
                <w:sz w:val="20"/>
                <w:szCs w:val="20"/>
              </w:rPr>
            </w:pPr>
            <w:r w:rsidRPr="000E2836">
              <w:rPr>
                <w:rFonts w:ascii="Arial" w:hAnsi="Arial" w:cs="Arial"/>
                <w:sz w:val="20"/>
                <w:szCs w:val="20"/>
              </w:rPr>
              <w:t>11 August 2014</w:t>
            </w:r>
          </w:p>
        </w:tc>
        <w:tc>
          <w:tcPr>
            <w:tcW w:w="7095" w:type="dxa"/>
          </w:tcPr>
          <w:p w:rsidR="00535F38" w:rsidRPr="000E2836" w:rsidRDefault="000F251A" w:rsidP="000E2836">
            <w:pPr>
              <w:pStyle w:val="BodyText"/>
              <w:rPr>
                <w:rFonts w:ascii="Arial" w:hAnsi="Arial" w:cs="Arial"/>
                <w:sz w:val="20"/>
                <w:szCs w:val="20"/>
              </w:rPr>
            </w:pPr>
            <w:r>
              <w:rPr>
                <w:rFonts w:ascii="Arial" w:hAnsi="Arial" w:cs="Arial"/>
                <w:sz w:val="20"/>
                <w:szCs w:val="20"/>
              </w:rPr>
              <w:t>In response to enquiries from Goldman Sachs, t</w:t>
            </w:r>
            <w:r w:rsidRPr="000E2836">
              <w:rPr>
                <w:rFonts w:ascii="Arial" w:hAnsi="Arial" w:cs="Arial"/>
                <w:sz w:val="20"/>
                <w:szCs w:val="20"/>
              </w:rPr>
              <w:t>he Bank of Portugal confirm</w:t>
            </w:r>
            <w:r>
              <w:rPr>
                <w:rFonts w:ascii="Arial" w:hAnsi="Arial" w:cs="Arial"/>
                <w:sz w:val="20"/>
                <w:szCs w:val="20"/>
              </w:rPr>
              <w:t>s</w:t>
            </w:r>
            <w:r w:rsidRPr="000E2836">
              <w:rPr>
                <w:rFonts w:ascii="Arial" w:hAnsi="Arial" w:cs="Arial"/>
                <w:sz w:val="20"/>
                <w:szCs w:val="20"/>
              </w:rPr>
              <w:t xml:space="preserve"> to Goldman Sachs that all senior obligations of BES, including the loan made by Oak Finance, had been transferred to Novo Banco.</w:t>
            </w:r>
          </w:p>
        </w:tc>
      </w:tr>
      <w:tr w:rsidR="002B1BEA" w:rsidTr="00655099">
        <w:trPr>
          <w:trHeight w:val="576"/>
        </w:trPr>
        <w:tc>
          <w:tcPr>
            <w:tcW w:w="2055" w:type="dxa"/>
          </w:tcPr>
          <w:p w:rsidR="00655099" w:rsidRPr="000E2836" w:rsidRDefault="000F251A" w:rsidP="00513E6C">
            <w:pPr>
              <w:pStyle w:val="BodyText"/>
              <w:rPr>
                <w:rFonts w:ascii="Arial" w:hAnsi="Arial" w:cs="Arial"/>
                <w:sz w:val="20"/>
                <w:szCs w:val="20"/>
              </w:rPr>
            </w:pPr>
            <w:r w:rsidRPr="000E2836">
              <w:rPr>
                <w:rFonts w:ascii="Arial" w:hAnsi="Arial" w:cs="Arial"/>
                <w:sz w:val="20"/>
                <w:szCs w:val="20"/>
              </w:rPr>
              <w:t>14  August 2014</w:t>
            </w:r>
          </w:p>
        </w:tc>
        <w:tc>
          <w:tcPr>
            <w:tcW w:w="7095" w:type="dxa"/>
          </w:tcPr>
          <w:p w:rsidR="00655099" w:rsidRPr="000E2836" w:rsidRDefault="009A79A6" w:rsidP="009A79A6">
            <w:pPr>
              <w:pStyle w:val="BodyText"/>
              <w:rPr>
                <w:rFonts w:ascii="Arial" w:hAnsi="Arial" w:cs="Arial"/>
                <w:sz w:val="20"/>
                <w:szCs w:val="20"/>
              </w:rPr>
            </w:pPr>
            <w:r>
              <w:rPr>
                <w:rFonts w:ascii="Arial" w:hAnsi="Arial" w:cs="Arial"/>
                <w:sz w:val="20"/>
                <w:szCs w:val="20"/>
              </w:rPr>
              <w:t>In response to a further query from Goldman Sachs, t</w:t>
            </w:r>
            <w:r w:rsidR="000F251A" w:rsidRPr="000E2836">
              <w:rPr>
                <w:rFonts w:ascii="Arial" w:hAnsi="Arial" w:cs="Arial"/>
                <w:sz w:val="20"/>
                <w:szCs w:val="20"/>
              </w:rPr>
              <w:t>he Legal Department of BES/Novo Banco confirms that “</w:t>
            </w:r>
            <w:r w:rsidR="000F251A" w:rsidRPr="000E2836">
              <w:rPr>
                <w:rFonts w:ascii="Arial" w:hAnsi="Arial" w:cs="Arial"/>
                <w:i/>
                <w:sz w:val="20"/>
                <w:szCs w:val="20"/>
              </w:rPr>
              <w:t>the Facility Agreement dated 30</w:t>
            </w:r>
            <w:r w:rsidR="000F251A" w:rsidRPr="000E2836">
              <w:rPr>
                <w:rFonts w:ascii="Arial" w:hAnsi="Arial" w:cs="Arial"/>
                <w:i/>
                <w:sz w:val="20"/>
                <w:szCs w:val="20"/>
                <w:vertAlign w:val="superscript"/>
              </w:rPr>
              <w:t>th</w:t>
            </w:r>
            <w:r w:rsidR="000F251A" w:rsidRPr="000E2836">
              <w:rPr>
                <w:rFonts w:ascii="Arial" w:hAnsi="Arial" w:cs="Arial"/>
                <w:i/>
                <w:sz w:val="20"/>
                <w:szCs w:val="20"/>
              </w:rPr>
              <w:t>. June 2014, signed, amongst others, Oak Finance Luxembourg S.A., as lender, and Banco Espírito Santo, S.A. – Luxembourg Branch, as borrower, has been transferred to Novo Banco S.A. as a consequence of the resolution measure applied on 3</w:t>
            </w:r>
            <w:r w:rsidR="000F251A" w:rsidRPr="000E2836">
              <w:rPr>
                <w:rFonts w:ascii="Arial" w:hAnsi="Arial" w:cs="Arial"/>
                <w:i/>
                <w:sz w:val="20"/>
                <w:szCs w:val="20"/>
                <w:vertAlign w:val="superscript"/>
              </w:rPr>
              <w:t>rd</w:t>
            </w:r>
            <w:r w:rsidR="000F251A" w:rsidRPr="000E2836">
              <w:rPr>
                <w:rFonts w:ascii="Arial" w:hAnsi="Arial" w:cs="Arial"/>
                <w:i/>
                <w:sz w:val="20"/>
                <w:szCs w:val="20"/>
              </w:rPr>
              <w:t>. August 2014 and subsequent announcements by Banco de Portugal</w:t>
            </w:r>
            <w:r w:rsidR="000F251A" w:rsidRPr="000E2836">
              <w:rPr>
                <w:rFonts w:ascii="Arial" w:hAnsi="Arial" w:cs="Arial"/>
                <w:sz w:val="20"/>
                <w:szCs w:val="20"/>
              </w:rPr>
              <w:t>.”</w:t>
            </w:r>
          </w:p>
        </w:tc>
      </w:tr>
      <w:tr w:rsidR="002B1BEA" w:rsidTr="00C007D8">
        <w:trPr>
          <w:trHeight w:val="285"/>
        </w:trPr>
        <w:tc>
          <w:tcPr>
            <w:tcW w:w="2055" w:type="dxa"/>
          </w:tcPr>
          <w:p w:rsidR="00C007D8" w:rsidRPr="000E2836" w:rsidRDefault="000F251A" w:rsidP="00513E6C">
            <w:pPr>
              <w:pStyle w:val="BodyText"/>
              <w:rPr>
                <w:rFonts w:ascii="Arial" w:hAnsi="Arial" w:cs="Arial"/>
                <w:sz w:val="20"/>
                <w:szCs w:val="20"/>
              </w:rPr>
            </w:pPr>
            <w:r w:rsidRPr="000E2836">
              <w:rPr>
                <w:rFonts w:ascii="Arial" w:hAnsi="Arial" w:cs="Arial"/>
                <w:sz w:val="20"/>
                <w:szCs w:val="20"/>
              </w:rPr>
              <w:t xml:space="preserve">22 December 2014 </w:t>
            </w:r>
          </w:p>
        </w:tc>
        <w:tc>
          <w:tcPr>
            <w:tcW w:w="7095" w:type="dxa"/>
          </w:tcPr>
          <w:p w:rsidR="00C007D8" w:rsidRPr="000E2836" w:rsidRDefault="000F251A" w:rsidP="00C007D8">
            <w:pPr>
              <w:pStyle w:val="BodyText"/>
              <w:rPr>
                <w:rFonts w:ascii="Arial" w:hAnsi="Arial" w:cs="Arial"/>
                <w:sz w:val="20"/>
                <w:szCs w:val="20"/>
              </w:rPr>
            </w:pPr>
            <w:r w:rsidRPr="000E2836">
              <w:rPr>
                <w:rFonts w:ascii="Arial" w:hAnsi="Arial" w:cs="Arial"/>
                <w:sz w:val="20"/>
                <w:szCs w:val="20"/>
              </w:rPr>
              <w:t xml:space="preserve">Board of Directors of the Bank of Portugal </w:t>
            </w:r>
            <w:r>
              <w:rPr>
                <w:rFonts w:ascii="Arial" w:hAnsi="Arial" w:cs="Arial"/>
                <w:sz w:val="20"/>
                <w:szCs w:val="20"/>
              </w:rPr>
              <w:t xml:space="preserve">purports to make a retrospective decision and </w:t>
            </w:r>
            <w:r w:rsidRPr="000E2836">
              <w:rPr>
                <w:rFonts w:ascii="Arial" w:hAnsi="Arial" w:cs="Arial"/>
                <w:sz w:val="20"/>
                <w:szCs w:val="20"/>
              </w:rPr>
              <w:t>notifies Oak Finance that:</w:t>
            </w:r>
          </w:p>
          <w:p w:rsidR="004D7B92" w:rsidRPr="000E2836" w:rsidRDefault="000F251A" w:rsidP="004D7B92">
            <w:pPr>
              <w:pStyle w:val="BodyText"/>
              <w:rPr>
                <w:rFonts w:ascii="Arial" w:hAnsi="Arial" w:cs="Arial"/>
                <w:sz w:val="20"/>
                <w:szCs w:val="20"/>
              </w:rPr>
            </w:pPr>
            <w:r w:rsidRPr="000E2836">
              <w:rPr>
                <w:rFonts w:ascii="Arial" w:hAnsi="Arial" w:cs="Arial"/>
                <w:sz w:val="20"/>
                <w:szCs w:val="20"/>
              </w:rPr>
              <w:t>a)</w:t>
            </w:r>
            <w:r w:rsidRPr="000E2836">
              <w:rPr>
                <w:rFonts w:ascii="Arial" w:hAnsi="Arial" w:cs="Arial"/>
                <w:sz w:val="20"/>
                <w:szCs w:val="20"/>
              </w:rPr>
              <w:tab/>
              <w:t>BES’s liability to Oak Finance was not transferred to Novo Banco;</w:t>
            </w:r>
          </w:p>
          <w:p w:rsidR="004D7B92" w:rsidRPr="000E2836" w:rsidRDefault="000F251A" w:rsidP="004D7B92">
            <w:pPr>
              <w:pStyle w:val="BodyText"/>
              <w:rPr>
                <w:rFonts w:ascii="Arial" w:hAnsi="Arial" w:cs="Arial"/>
                <w:sz w:val="20"/>
                <w:szCs w:val="20"/>
              </w:rPr>
            </w:pPr>
            <w:r w:rsidRPr="000E2836">
              <w:rPr>
                <w:rFonts w:ascii="Arial" w:hAnsi="Arial" w:cs="Arial"/>
                <w:sz w:val="20"/>
                <w:szCs w:val="20"/>
              </w:rPr>
              <w:t>b)</w:t>
            </w:r>
            <w:r w:rsidRPr="000E2836">
              <w:rPr>
                <w:rFonts w:ascii="Arial" w:hAnsi="Arial" w:cs="Arial"/>
                <w:sz w:val="20"/>
                <w:szCs w:val="20"/>
              </w:rPr>
              <w:tab/>
              <w:t>This decision is effective as of 3 August 2014;</w:t>
            </w:r>
          </w:p>
          <w:p w:rsidR="00CC15C3" w:rsidRPr="000E2836" w:rsidRDefault="000F251A" w:rsidP="005E76C0">
            <w:pPr>
              <w:pStyle w:val="BodyText"/>
              <w:rPr>
                <w:rFonts w:ascii="Arial" w:hAnsi="Arial" w:cs="Arial"/>
                <w:sz w:val="20"/>
                <w:szCs w:val="20"/>
              </w:rPr>
            </w:pPr>
            <w:r w:rsidRPr="000E2836">
              <w:rPr>
                <w:rFonts w:ascii="Arial" w:hAnsi="Arial" w:cs="Arial"/>
                <w:sz w:val="20"/>
                <w:szCs w:val="20"/>
              </w:rPr>
              <w:t>c)</w:t>
            </w:r>
            <w:r w:rsidRPr="000E2836">
              <w:rPr>
                <w:rFonts w:ascii="Arial" w:hAnsi="Arial" w:cs="Arial"/>
                <w:sz w:val="20"/>
                <w:szCs w:val="20"/>
              </w:rPr>
              <w:tab/>
              <w:t>Novo Banco and BES must adapt their accounting records.</w:t>
            </w:r>
          </w:p>
        </w:tc>
      </w:tr>
      <w:tr w:rsidR="002B1BEA" w:rsidTr="00F85879">
        <w:trPr>
          <w:trHeight w:val="491"/>
        </w:trPr>
        <w:tc>
          <w:tcPr>
            <w:tcW w:w="2055" w:type="dxa"/>
          </w:tcPr>
          <w:p w:rsidR="00F85879" w:rsidRPr="000E2836" w:rsidRDefault="000F251A" w:rsidP="00513E6C">
            <w:pPr>
              <w:pStyle w:val="BodyText"/>
              <w:rPr>
                <w:rFonts w:ascii="Arial" w:hAnsi="Arial" w:cs="Arial"/>
                <w:sz w:val="20"/>
                <w:szCs w:val="20"/>
              </w:rPr>
            </w:pPr>
            <w:r w:rsidRPr="000E2836">
              <w:rPr>
                <w:rFonts w:ascii="Arial" w:hAnsi="Arial" w:cs="Arial"/>
                <w:sz w:val="20"/>
                <w:szCs w:val="20"/>
              </w:rPr>
              <w:t>23 December 2014</w:t>
            </w:r>
          </w:p>
        </w:tc>
        <w:tc>
          <w:tcPr>
            <w:tcW w:w="7095" w:type="dxa"/>
          </w:tcPr>
          <w:p w:rsidR="00F85879" w:rsidRPr="000E2836" w:rsidRDefault="000F251A" w:rsidP="00C007D8">
            <w:pPr>
              <w:pStyle w:val="BodyText"/>
              <w:rPr>
                <w:rFonts w:ascii="Arial" w:hAnsi="Arial" w:cs="Arial"/>
                <w:sz w:val="20"/>
                <w:szCs w:val="20"/>
              </w:rPr>
            </w:pPr>
            <w:r w:rsidRPr="000E2836">
              <w:rPr>
                <w:rFonts w:ascii="Arial" w:hAnsi="Arial" w:cs="Arial"/>
                <w:sz w:val="20"/>
                <w:szCs w:val="20"/>
              </w:rPr>
              <w:t>Novo Banco issues release notifying that it has been informed of the decision of the Bank of Portugal.</w:t>
            </w:r>
          </w:p>
        </w:tc>
      </w:tr>
      <w:tr w:rsidR="00DC48C7" w:rsidTr="00F85879">
        <w:trPr>
          <w:trHeight w:val="491"/>
        </w:trPr>
        <w:tc>
          <w:tcPr>
            <w:tcW w:w="2055" w:type="dxa"/>
          </w:tcPr>
          <w:p w:rsidR="00DC48C7" w:rsidRPr="000E2836" w:rsidRDefault="00DC48C7" w:rsidP="00513E6C">
            <w:pPr>
              <w:pStyle w:val="BodyText"/>
              <w:rPr>
                <w:rFonts w:ascii="Arial" w:hAnsi="Arial" w:cs="Arial"/>
                <w:sz w:val="20"/>
                <w:szCs w:val="20"/>
              </w:rPr>
            </w:pPr>
            <w:r>
              <w:rPr>
                <w:rFonts w:ascii="Arial" w:hAnsi="Arial" w:cs="Arial"/>
                <w:sz w:val="20"/>
                <w:szCs w:val="20"/>
              </w:rPr>
              <w:t>18 February 2015</w:t>
            </w:r>
          </w:p>
        </w:tc>
        <w:tc>
          <w:tcPr>
            <w:tcW w:w="7095" w:type="dxa"/>
          </w:tcPr>
          <w:p w:rsidR="00DC48C7" w:rsidRPr="000E2836" w:rsidRDefault="00DC48C7" w:rsidP="00C007D8">
            <w:pPr>
              <w:pStyle w:val="BodyText"/>
              <w:rPr>
                <w:rFonts w:ascii="Arial" w:hAnsi="Arial" w:cs="Arial"/>
                <w:sz w:val="20"/>
                <w:szCs w:val="20"/>
              </w:rPr>
            </w:pPr>
            <w:r>
              <w:rPr>
                <w:rFonts w:ascii="Arial" w:hAnsi="Arial" w:cs="Arial"/>
                <w:sz w:val="20"/>
                <w:szCs w:val="20"/>
              </w:rPr>
              <w:t>Bank of Portugal reaffirms its 22 December 2014 decision.</w:t>
            </w:r>
          </w:p>
        </w:tc>
      </w:tr>
    </w:tbl>
    <w:p w:rsidR="00761677" w:rsidRPr="000E2836" w:rsidRDefault="00A26081" w:rsidP="00513E6C">
      <w:pPr>
        <w:pStyle w:val="BodyText"/>
        <w:rPr>
          <w:rFonts w:ascii="Arial" w:hAnsi="Arial" w:cs="Arial"/>
          <w:sz w:val="20"/>
          <w:szCs w:val="20"/>
        </w:rPr>
      </w:pPr>
    </w:p>
    <w:sectPr w:rsidR="00761677" w:rsidRPr="000E2836" w:rsidSect="00655099">
      <w:headerReference w:type="default" r:id="rId7"/>
      <w:footerReference w:type="default" r:id="rId8"/>
      <w:pgSz w:w="11907" w:h="1683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081" w:rsidRDefault="00A26081">
      <w:pPr>
        <w:spacing w:after="0"/>
      </w:pPr>
      <w:r>
        <w:separator/>
      </w:r>
    </w:p>
  </w:endnote>
  <w:endnote w:type="continuationSeparator" w:id="1">
    <w:p w:rsidR="00A26081" w:rsidRDefault="00A260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6C0" w:rsidRPr="0052304B" w:rsidRDefault="000F251A" w:rsidP="005E76C0">
    <w:pPr>
      <w:pStyle w:val="Footer"/>
      <w:rPr>
        <w:sz w:val="16"/>
      </w:rPr>
    </w:pPr>
    <w:r>
      <w:rPr>
        <w:sz w:val="16"/>
      </w:rPr>
      <w:t xml:space="preserve">Document </w:t>
    </w:r>
    <w:r w:rsidRPr="000B2B6C">
      <w:rPr>
        <w:sz w:val="16"/>
      </w:rPr>
      <w:t>1418785</w:t>
    </w:r>
    <w:r>
      <w:rPr>
        <w:sz w:val="16"/>
      </w:rPr>
      <w:t xml:space="preserve">  Version </w:t>
    </w:r>
    <w:r w:rsidR="00F340C0">
      <w:rPr>
        <w:sz w:val="16"/>
      </w:rPr>
      <w:t>7</w:t>
    </w:r>
    <w:r>
      <w:rPr>
        <w:sz w:val="16"/>
      </w:rPr>
      <w:tab/>
    </w:r>
    <w:r>
      <w:rPr>
        <w:sz w:val="16"/>
      </w:rPr>
      <w:tab/>
    </w:r>
    <w:r w:rsidRPr="000400EF">
      <w:rPr>
        <w:sz w:val="16"/>
      </w:rPr>
      <w:t xml:space="preserve">Page | </w:t>
    </w:r>
    <w:r w:rsidR="00A8683C" w:rsidRPr="000400EF">
      <w:rPr>
        <w:sz w:val="16"/>
      </w:rPr>
      <w:fldChar w:fldCharType="begin"/>
    </w:r>
    <w:r w:rsidRPr="000400EF">
      <w:rPr>
        <w:sz w:val="16"/>
      </w:rPr>
      <w:instrText xml:space="preserve"> PAGE   \* MERGEFORMAT </w:instrText>
    </w:r>
    <w:r w:rsidR="00A8683C" w:rsidRPr="000400EF">
      <w:rPr>
        <w:sz w:val="16"/>
      </w:rPr>
      <w:fldChar w:fldCharType="separate"/>
    </w:r>
    <w:r w:rsidR="00007CD0">
      <w:rPr>
        <w:noProof/>
        <w:sz w:val="16"/>
      </w:rPr>
      <w:t>1</w:t>
    </w:r>
    <w:r w:rsidR="00A8683C" w:rsidRPr="000400EF">
      <w:rPr>
        <w:noProof/>
        <w:sz w:val="16"/>
      </w:rPr>
      <w:fldChar w:fldCharType="end"/>
    </w:r>
  </w:p>
  <w:p w:rsidR="005E76C0" w:rsidRDefault="00A26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081" w:rsidRDefault="00A26081">
      <w:pPr>
        <w:spacing w:after="0"/>
      </w:pPr>
      <w:r>
        <w:separator/>
      </w:r>
    </w:p>
  </w:footnote>
  <w:footnote w:type="continuationSeparator" w:id="1">
    <w:p w:rsidR="00A26081" w:rsidRDefault="00A260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92" w:rsidRPr="000A307C" w:rsidRDefault="000F251A">
    <w:pPr>
      <w:pStyle w:val="Header"/>
      <w:rPr>
        <w:rFonts w:ascii="Arial" w:hAnsi="Arial" w:cs="Arial"/>
        <w:b/>
      </w:rPr>
    </w:pPr>
    <w:r w:rsidRPr="000A307C">
      <w:rPr>
        <w:rFonts w:ascii="Arial" w:hAnsi="Arial" w:cs="Arial"/>
        <w:b/>
      </w:rPr>
      <w:tab/>
    </w:r>
    <w:r w:rsidRPr="000A307C">
      <w:rPr>
        <w:rFonts w:ascii="Arial" w:hAnsi="Arial" w:cs="Arial"/>
        <w:b/>
      </w:rPr>
      <w:tab/>
    </w:r>
  </w:p>
  <w:p w:rsidR="004D7B92" w:rsidRDefault="000F251A">
    <w:pPr>
      <w:pStyle w:val="Header"/>
    </w:pPr>
    <w:r>
      <w:tab/>
    </w:r>
  </w:p>
  <w:p w:rsidR="004D7B92" w:rsidRPr="00DA5969" w:rsidRDefault="00A26081">
    <w:pPr>
      <w:pStyle w:val="Header"/>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nsid w:val="1BC87A83"/>
    <w:multiLevelType w:val="hybridMultilevel"/>
    <w:tmpl w:val="7C567C56"/>
    <w:lvl w:ilvl="0" w:tplc="9FC61750">
      <w:start w:val="1"/>
      <w:numFmt w:val="bullet"/>
      <w:lvlText w:val=""/>
      <w:lvlJc w:val="left"/>
      <w:pPr>
        <w:ind w:left="780" w:hanging="360"/>
      </w:pPr>
      <w:rPr>
        <w:rFonts w:ascii="Symbol" w:hAnsi="Symbol" w:hint="default"/>
      </w:rPr>
    </w:lvl>
    <w:lvl w:ilvl="1" w:tplc="DDD49772" w:tentative="1">
      <w:start w:val="1"/>
      <w:numFmt w:val="bullet"/>
      <w:lvlText w:val="o"/>
      <w:lvlJc w:val="left"/>
      <w:pPr>
        <w:ind w:left="1500" w:hanging="360"/>
      </w:pPr>
      <w:rPr>
        <w:rFonts w:ascii="Courier New" w:hAnsi="Courier New" w:cs="Courier New" w:hint="default"/>
      </w:rPr>
    </w:lvl>
    <w:lvl w:ilvl="2" w:tplc="744E6C02" w:tentative="1">
      <w:start w:val="1"/>
      <w:numFmt w:val="bullet"/>
      <w:lvlText w:val=""/>
      <w:lvlJc w:val="left"/>
      <w:pPr>
        <w:ind w:left="2220" w:hanging="360"/>
      </w:pPr>
      <w:rPr>
        <w:rFonts w:ascii="Wingdings" w:hAnsi="Wingdings" w:hint="default"/>
      </w:rPr>
    </w:lvl>
    <w:lvl w:ilvl="3" w:tplc="F3300344" w:tentative="1">
      <w:start w:val="1"/>
      <w:numFmt w:val="bullet"/>
      <w:lvlText w:val=""/>
      <w:lvlJc w:val="left"/>
      <w:pPr>
        <w:ind w:left="2940" w:hanging="360"/>
      </w:pPr>
      <w:rPr>
        <w:rFonts w:ascii="Symbol" w:hAnsi="Symbol" w:hint="default"/>
      </w:rPr>
    </w:lvl>
    <w:lvl w:ilvl="4" w:tplc="BDF4C616" w:tentative="1">
      <w:start w:val="1"/>
      <w:numFmt w:val="bullet"/>
      <w:lvlText w:val="o"/>
      <w:lvlJc w:val="left"/>
      <w:pPr>
        <w:ind w:left="3660" w:hanging="360"/>
      </w:pPr>
      <w:rPr>
        <w:rFonts w:ascii="Courier New" w:hAnsi="Courier New" w:cs="Courier New" w:hint="default"/>
      </w:rPr>
    </w:lvl>
    <w:lvl w:ilvl="5" w:tplc="BE903576" w:tentative="1">
      <w:start w:val="1"/>
      <w:numFmt w:val="bullet"/>
      <w:lvlText w:val=""/>
      <w:lvlJc w:val="left"/>
      <w:pPr>
        <w:ind w:left="4380" w:hanging="360"/>
      </w:pPr>
      <w:rPr>
        <w:rFonts w:ascii="Wingdings" w:hAnsi="Wingdings" w:hint="default"/>
      </w:rPr>
    </w:lvl>
    <w:lvl w:ilvl="6" w:tplc="5186F9B8" w:tentative="1">
      <w:start w:val="1"/>
      <w:numFmt w:val="bullet"/>
      <w:lvlText w:val=""/>
      <w:lvlJc w:val="left"/>
      <w:pPr>
        <w:ind w:left="5100" w:hanging="360"/>
      </w:pPr>
      <w:rPr>
        <w:rFonts w:ascii="Symbol" w:hAnsi="Symbol" w:hint="default"/>
      </w:rPr>
    </w:lvl>
    <w:lvl w:ilvl="7" w:tplc="B732A12A" w:tentative="1">
      <w:start w:val="1"/>
      <w:numFmt w:val="bullet"/>
      <w:lvlText w:val="o"/>
      <w:lvlJc w:val="left"/>
      <w:pPr>
        <w:ind w:left="5820" w:hanging="360"/>
      </w:pPr>
      <w:rPr>
        <w:rFonts w:ascii="Courier New" w:hAnsi="Courier New" w:cs="Courier New" w:hint="default"/>
      </w:rPr>
    </w:lvl>
    <w:lvl w:ilvl="8" w:tplc="5C96660A" w:tentative="1">
      <w:start w:val="1"/>
      <w:numFmt w:val="bullet"/>
      <w:lvlText w:val=""/>
      <w:lvlJc w:val="left"/>
      <w:pPr>
        <w:ind w:left="6540" w:hanging="360"/>
      </w:pPr>
      <w:rPr>
        <w:rFonts w:ascii="Wingdings" w:hAnsi="Wingdings" w:hint="default"/>
      </w:rPr>
    </w:lvl>
  </w:abstractNum>
  <w:abstractNum w:abstractNumId="11">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D367A3B"/>
    <w:multiLevelType w:val="hybridMultilevel"/>
    <w:tmpl w:val="633EE200"/>
    <w:lvl w:ilvl="0" w:tplc="16D424FE">
      <w:start w:val="1"/>
      <w:numFmt w:val="bullet"/>
      <w:pStyle w:val="Bullet1"/>
      <w:lvlText w:val=""/>
      <w:lvlJc w:val="left"/>
      <w:pPr>
        <w:tabs>
          <w:tab w:val="num" w:pos="720"/>
        </w:tabs>
        <w:ind w:left="720" w:hanging="720"/>
      </w:pPr>
      <w:rPr>
        <w:rFonts w:ascii="Symbol" w:hAnsi="Symbol" w:hint="default"/>
      </w:rPr>
    </w:lvl>
    <w:lvl w:ilvl="1" w:tplc="7F101CB8" w:tentative="1">
      <w:start w:val="1"/>
      <w:numFmt w:val="bullet"/>
      <w:lvlText w:val="o"/>
      <w:lvlJc w:val="left"/>
      <w:pPr>
        <w:tabs>
          <w:tab w:val="num" w:pos="1440"/>
        </w:tabs>
        <w:ind w:left="1440" w:hanging="360"/>
      </w:pPr>
      <w:rPr>
        <w:rFonts w:ascii="Courier New" w:hAnsi="Courier New" w:cs="Courier New" w:hint="default"/>
      </w:rPr>
    </w:lvl>
    <w:lvl w:ilvl="2" w:tplc="4006713C" w:tentative="1">
      <w:start w:val="1"/>
      <w:numFmt w:val="bullet"/>
      <w:lvlText w:val=""/>
      <w:lvlJc w:val="left"/>
      <w:pPr>
        <w:tabs>
          <w:tab w:val="num" w:pos="2160"/>
        </w:tabs>
        <w:ind w:left="2160" w:hanging="360"/>
      </w:pPr>
      <w:rPr>
        <w:rFonts w:ascii="Wingdings" w:hAnsi="Wingdings" w:hint="default"/>
      </w:rPr>
    </w:lvl>
    <w:lvl w:ilvl="3" w:tplc="804C752A" w:tentative="1">
      <w:start w:val="1"/>
      <w:numFmt w:val="bullet"/>
      <w:lvlText w:val=""/>
      <w:lvlJc w:val="left"/>
      <w:pPr>
        <w:tabs>
          <w:tab w:val="num" w:pos="2880"/>
        </w:tabs>
        <w:ind w:left="2880" w:hanging="360"/>
      </w:pPr>
      <w:rPr>
        <w:rFonts w:ascii="Symbol" w:hAnsi="Symbol" w:hint="default"/>
      </w:rPr>
    </w:lvl>
    <w:lvl w:ilvl="4" w:tplc="6A326830" w:tentative="1">
      <w:start w:val="1"/>
      <w:numFmt w:val="bullet"/>
      <w:lvlText w:val="o"/>
      <w:lvlJc w:val="left"/>
      <w:pPr>
        <w:tabs>
          <w:tab w:val="num" w:pos="3600"/>
        </w:tabs>
        <w:ind w:left="3600" w:hanging="360"/>
      </w:pPr>
      <w:rPr>
        <w:rFonts w:ascii="Courier New" w:hAnsi="Courier New" w:cs="Courier New" w:hint="default"/>
      </w:rPr>
    </w:lvl>
    <w:lvl w:ilvl="5" w:tplc="923203F4" w:tentative="1">
      <w:start w:val="1"/>
      <w:numFmt w:val="bullet"/>
      <w:lvlText w:val=""/>
      <w:lvlJc w:val="left"/>
      <w:pPr>
        <w:tabs>
          <w:tab w:val="num" w:pos="4320"/>
        </w:tabs>
        <w:ind w:left="4320" w:hanging="360"/>
      </w:pPr>
      <w:rPr>
        <w:rFonts w:ascii="Wingdings" w:hAnsi="Wingdings" w:hint="default"/>
      </w:rPr>
    </w:lvl>
    <w:lvl w:ilvl="6" w:tplc="24CE5024" w:tentative="1">
      <w:start w:val="1"/>
      <w:numFmt w:val="bullet"/>
      <w:lvlText w:val=""/>
      <w:lvlJc w:val="left"/>
      <w:pPr>
        <w:tabs>
          <w:tab w:val="num" w:pos="5040"/>
        </w:tabs>
        <w:ind w:left="5040" w:hanging="360"/>
      </w:pPr>
      <w:rPr>
        <w:rFonts w:ascii="Symbol" w:hAnsi="Symbol" w:hint="default"/>
      </w:rPr>
    </w:lvl>
    <w:lvl w:ilvl="7" w:tplc="D77A227C" w:tentative="1">
      <w:start w:val="1"/>
      <w:numFmt w:val="bullet"/>
      <w:lvlText w:val="o"/>
      <w:lvlJc w:val="left"/>
      <w:pPr>
        <w:tabs>
          <w:tab w:val="num" w:pos="5760"/>
        </w:tabs>
        <w:ind w:left="5760" w:hanging="360"/>
      </w:pPr>
      <w:rPr>
        <w:rFonts w:ascii="Courier New" w:hAnsi="Courier New" w:cs="Courier New" w:hint="default"/>
      </w:rPr>
    </w:lvl>
    <w:lvl w:ilvl="8" w:tplc="72B6336E" w:tentative="1">
      <w:start w:val="1"/>
      <w:numFmt w:val="bullet"/>
      <w:lvlText w:val=""/>
      <w:lvlJc w:val="left"/>
      <w:pPr>
        <w:tabs>
          <w:tab w:val="num" w:pos="6480"/>
        </w:tabs>
        <w:ind w:left="6480" w:hanging="360"/>
      </w:pPr>
      <w:rPr>
        <w:rFonts w:ascii="Wingdings" w:hAnsi="Wingdings" w:hint="default"/>
      </w:rPr>
    </w:lvl>
  </w:abstractNum>
  <w:abstractNum w:abstractNumId="17">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7"/>
  </w:num>
  <w:num w:numId="3">
    <w:abstractNumId w:val="13"/>
  </w:num>
  <w:num w:numId="4">
    <w:abstractNumId w:val="15"/>
  </w:num>
  <w:num w:numId="5">
    <w:abstractNumId w:val="14"/>
  </w:num>
  <w:num w:numId="6">
    <w:abstractNumId w:val="8"/>
  </w:num>
  <w:num w:numId="7">
    <w:abstractNumId w:val="16"/>
  </w:num>
  <w:num w:numId="8">
    <w:abstractNumId w:val="11"/>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3"/>
  </w:num>
  <w:num w:numId="21">
    <w:abstractNumId w:val="3"/>
  </w:num>
  <w:num w:numId="22">
    <w:abstractNumId w:val="2"/>
  </w:num>
  <w:num w:numId="23">
    <w:abstractNumId w:val="2"/>
  </w:num>
  <w:num w:numId="24">
    <w:abstractNumId w:val="1"/>
  </w:num>
  <w:num w:numId="25">
    <w:abstractNumId w:val="1"/>
  </w:num>
  <w:num w:numId="26">
    <w:abstractNumId w:val="0"/>
  </w:num>
  <w:num w:numId="27">
    <w:abstractNumId w:val="0"/>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removePersonalInformation/>
  <w:defaultTabStop w:val="720"/>
  <w:characterSpacingControl w:val="doNotCompress"/>
  <w:footnotePr>
    <w:footnote w:id="0"/>
    <w:footnote w:id="1"/>
  </w:footnotePr>
  <w:endnotePr>
    <w:endnote w:id="0"/>
    <w:endnote w:id="1"/>
  </w:endnotePr>
  <w:compat/>
  <w:rsids>
    <w:rsidRoot w:val="002B1BEA"/>
    <w:rsid w:val="0000289F"/>
    <w:rsid w:val="00007CD0"/>
    <w:rsid w:val="000A307C"/>
    <w:rsid w:val="000F251A"/>
    <w:rsid w:val="001650E1"/>
    <w:rsid w:val="001A1B3A"/>
    <w:rsid w:val="002277B1"/>
    <w:rsid w:val="00271761"/>
    <w:rsid w:val="002B1BEA"/>
    <w:rsid w:val="002B5DCB"/>
    <w:rsid w:val="005E71ED"/>
    <w:rsid w:val="00672497"/>
    <w:rsid w:val="007E57F9"/>
    <w:rsid w:val="00854D8B"/>
    <w:rsid w:val="008E2B59"/>
    <w:rsid w:val="009A79A6"/>
    <w:rsid w:val="00A0096B"/>
    <w:rsid w:val="00A26081"/>
    <w:rsid w:val="00A344DA"/>
    <w:rsid w:val="00A8683C"/>
    <w:rsid w:val="00BF1C2C"/>
    <w:rsid w:val="00C02652"/>
    <w:rsid w:val="00C77DA9"/>
    <w:rsid w:val="00D5323A"/>
    <w:rsid w:val="00DC48C7"/>
    <w:rsid w:val="00E5001E"/>
    <w:rsid w:val="00E954CC"/>
    <w:rsid w:val="00F34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99"/>
    <w:lsdException w:name="footer" w:uiPriority="99"/>
    <w:lsdException w:name="caption" w:uiPriority="35" w:qFormat="1"/>
    <w:lsdException w:name="annotation reference" w:uiPriority="99"/>
    <w:lsdException w:name="line number" w:uiPriority="99"/>
    <w:lsdException w:name="macro" w:uiPriority="99"/>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First Indent" w:uiPriority="99"/>
    <w:lsdException w:name="Body Text First Indent 2" w:uiPriority="99"/>
    <w:lsdException w:name="FollowedHyperlink" w:uiPriority="99"/>
    <w:lsdException w:name="Strong" w:semiHidden="0" w:uiPriority="22" w:unhideWhenUsed="0"/>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unhideWhenUsed/>
    <w:qFormat/>
    <w:rsid w:val="00A4669C"/>
    <w:pPr>
      <w:spacing w:after="240" w:line="240" w:lineRule="auto"/>
    </w:pPr>
    <w:rPr>
      <w:rFonts w:ascii="Times New Roman" w:hAnsi="Times New Roman" w:cs="Times New Roman"/>
      <w:kern w:val="24"/>
      <w:sz w:val="24"/>
      <w:szCs w:val="24"/>
      <w:lang w:val="en-GB" w:bidi="en-US"/>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DD2C32"/>
    <w:pPr>
      <w:spacing w:after="0" w:line="240" w:lineRule="auto"/>
    </w:pPr>
    <w:rPr>
      <w:rFonts w:ascii="Times New Roman" w:eastAsia="Times New Roman" w:hAnsi="Times New Roman" w:cs="Times New Roman"/>
      <w:kern w:val="24"/>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aliases w:val="BT"/>
    <w:basedOn w:val="Normal"/>
    <w:link w:val="BodyTextChar"/>
    <w:rsid w:val="009D3684"/>
    <w:rPr>
      <w:rFonts w:asciiTheme="minorHAnsi" w:hAnsiTheme="minorHAnsi" w:cstheme="minorBidi"/>
      <w:lang w:bidi="ar-SA"/>
    </w:rPr>
  </w:style>
  <w:style w:type="character" w:customStyle="1" w:styleId="BodyTextChar">
    <w:name w:val="Body Text Char"/>
    <w:aliases w:val="BT Char"/>
    <w:link w:val="BodyText"/>
    <w:rsid w:val="009D3684"/>
    <w:rPr>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4F81BD"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800080"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F81BD" w:themeColor="accent1"/>
    </w:rPr>
  </w:style>
  <w:style w:type="paragraph" w:styleId="IntenseQuote">
    <w:name w:val="Intense Quote"/>
    <w:basedOn w:val="Normal"/>
    <w:next w:val="Normal"/>
    <w:link w:val="IntenseQuoteCh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F81BD" w:themeColor="accent1"/>
      <w:kern w:val="24"/>
      <w:sz w:val="24"/>
      <w:szCs w:val="24"/>
      <w:lang w:bidi="en-US"/>
    </w:rPr>
  </w:style>
  <w:style w:type="character" w:styleId="IntenseReference">
    <w:name w:val="Intense Reference"/>
    <w:basedOn w:val="DefaultParagraphFont"/>
    <w:uiPriority w:val="32"/>
    <w:semiHidden/>
    <w:rsid w:val="00DD2C32"/>
    <w:rPr>
      <w:b/>
      <w:bCs/>
      <w:smallCaps/>
      <w:color w:val="C0504D"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spacing w:after="0"/>
      <w:ind w:left="6480"/>
    </w:pPr>
    <w:rPr>
      <w:rFonts w:ascii="Arial" w:eastAsiaTheme="minorEastAsia" w:hAnsi="Arial"/>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pPr>
      <w:spacing w:after="0" w:line="240" w:lineRule="auto"/>
    </w:pPr>
    <w:rPr>
      <w:rFonts w:ascii="Times New Roman" w:hAnsi="Times New Roman" w:cs="Times New Roman"/>
      <w:color w:val="365F91" w:themeColor="accent1" w:themeShade="BF"/>
      <w:kern w:val="24"/>
      <w:sz w:val="20"/>
      <w:szCs w:val="20"/>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2C32"/>
    <w:pPr>
      <w:spacing w:after="0" w:line="240" w:lineRule="auto"/>
    </w:pPr>
    <w:rPr>
      <w:rFonts w:ascii="Times New Roman" w:hAnsi="Times New Roman" w:cs="Times New Roman"/>
      <w:color w:val="943634" w:themeColor="accent2" w:themeShade="BF"/>
      <w:kern w:val="24"/>
      <w:sz w:val="20"/>
      <w:szCs w:val="20"/>
      <w:lang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2C32"/>
    <w:pPr>
      <w:spacing w:after="0" w:line="240" w:lineRule="auto"/>
    </w:pPr>
    <w:rPr>
      <w:rFonts w:ascii="Times New Roman" w:hAnsi="Times New Roman" w:cs="Times New Roman"/>
      <w:color w:val="76923C" w:themeColor="accent3" w:themeShade="BF"/>
      <w:kern w:val="24"/>
      <w:sz w:val="20"/>
      <w:szCs w:val="20"/>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2C32"/>
    <w:pPr>
      <w:spacing w:after="0" w:line="240" w:lineRule="auto"/>
    </w:pPr>
    <w:rPr>
      <w:rFonts w:ascii="Times New Roman" w:hAnsi="Times New Roman" w:cs="Times New Roman"/>
      <w:color w:val="5F497A" w:themeColor="accent4" w:themeShade="BF"/>
      <w:kern w:val="24"/>
      <w:sz w:val="20"/>
      <w:szCs w:val="20"/>
      <w:lang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2C32"/>
    <w:pPr>
      <w:spacing w:after="0" w:line="240" w:lineRule="auto"/>
    </w:pPr>
    <w:rPr>
      <w:rFonts w:ascii="Times New Roman" w:hAnsi="Times New Roman" w:cs="Times New Roman"/>
      <w:color w:val="31849B" w:themeColor="accent5" w:themeShade="BF"/>
      <w:kern w:val="24"/>
      <w:sz w:val="20"/>
      <w:szCs w:val="20"/>
      <w:lang w:bidi="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2C32"/>
    <w:pPr>
      <w:spacing w:after="0" w:line="240" w:lineRule="auto"/>
    </w:pPr>
    <w:rPr>
      <w:rFonts w:ascii="Times New Roman" w:hAnsi="Times New Roman" w:cs="Times New Roman"/>
      <w:color w:val="E36C0A" w:themeColor="accent6" w:themeShade="BF"/>
      <w:kern w:val="24"/>
      <w:sz w:val="20"/>
      <w:szCs w:val="20"/>
      <w:lang w:bidi="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D2C32"/>
    <w:pPr>
      <w:spacing w:after="0" w:line="240" w:lineRule="auto"/>
    </w:pPr>
    <w:rPr>
      <w:rFonts w:ascii="Times New Roman" w:hAnsi="Times New Roman" w:cs="Times New Roman"/>
      <w:color w:val="000000" w:themeColor="text1" w:themeShade="BF"/>
      <w:kern w:val="24"/>
      <w:sz w:val="20"/>
      <w:szCs w:val="20"/>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qFormat/>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after="0"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customStyle="1" w:styleId="NoteHeading1">
    <w:name w:val="Note Heading1"/>
    <w:basedOn w:val="AGNormal"/>
    <w:next w:val="Normal"/>
    <w:link w:val="NoteHeadingChar"/>
    <w:semiHidden/>
    <w:unhideWhenUsed/>
    <w:rsid w:val="00DD2C32"/>
  </w:style>
  <w:style w:type="character" w:customStyle="1" w:styleId="NoteHeadingChar">
    <w:name w:val="Note Heading Char"/>
    <w:basedOn w:val="DefaultParagraphFont"/>
    <w:link w:val="NoteHeading1"/>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C0504D" w:themeColor="accent2"/>
      <w:u w:val="single"/>
    </w:rPr>
  </w:style>
  <w:style w:type="table" w:styleId="Table3Deffects1">
    <w:name w:val="Table 3D effects 1"/>
    <w:basedOn w:val="TableNormal"/>
    <w:rsid w:val="00DD2C32"/>
    <w:pPr>
      <w:spacing w:after="0" w:line="240" w:lineRule="auto"/>
    </w:pPr>
    <w:rPr>
      <w:rFonts w:ascii="Times New Roman" w:hAnsi="Times New Roman" w:cs="Times New Roman"/>
      <w:kern w:val="24"/>
      <w:sz w:val="20"/>
      <w:szCs w:val="20"/>
      <w:lang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DD2C32"/>
    <w:pPr>
      <w:spacing w:after="0" w:line="240" w:lineRule="auto"/>
    </w:pPr>
    <w:rPr>
      <w:rFonts w:ascii="Times New Roman" w:hAnsi="Times New Roman" w:cs="Times New Roman"/>
      <w:color w:val="000080"/>
      <w:kern w:val="24"/>
      <w:sz w:val="20"/>
      <w:szCs w:val="20"/>
      <w:lang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DD2C32"/>
    <w:pPr>
      <w:spacing w:after="0" w:line="240" w:lineRule="auto"/>
    </w:pPr>
    <w:rPr>
      <w:rFonts w:ascii="Times New Roman" w:hAnsi="Times New Roman" w:cs="Times New Roman"/>
      <w:color w:val="FFFFFF"/>
      <w:kern w:val="24"/>
      <w:sz w:val="20"/>
      <w:szCs w:val="20"/>
      <w:lang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DD2C32"/>
    <w:pPr>
      <w:spacing w:after="0" w:line="240" w:lineRule="auto"/>
    </w:pPr>
    <w:rPr>
      <w:rFonts w:ascii="Times New Roman" w:hAnsi="Times New Roman" w:cs="Times New Roman"/>
      <w:kern w:val="24"/>
      <w:sz w:val="20"/>
      <w:szCs w:val="20"/>
      <w:lang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DD2C32"/>
    <w:pPr>
      <w:spacing w:after="0" w:line="240" w:lineRule="auto"/>
    </w:pPr>
    <w:rPr>
      <w:rFonts w:ascii="Times New Roman" w:hAnsi="Times New Roman" w:cs="Times New Roman"/>
      <w:kern w:val="24"/>
      <w:sz w:val="20"/>
      <w:szCs w:val="20"/>
      <w:lang w:bidi="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after="0" w:line="240" w:lineRule="auto"/>
    </w:pPr>
    <w:rPr>
      <w:rFonts w:ascii="Times New Roman" w:hAnsi="Times New Roman" w:cs="Times New Roman"/>
      <w:kern w:val="24"/>
      <w:sz w:val="20"/>
      <w:szCs w:val="20"/>
      <w:lang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DD2C32"/>
    <w:pPr>
      <w:spacing w:after="0" w:line="240" w:lineRule="auto"/>
    </w:pPr>
    <w:rPr>
      <w:rFonts w:ascii="Times New Roman" w:hAnsi="Times New Roman" w:cs="Times New Roman"/>
      <w:kern w:val="24"/>
      <w:sz w:val="20"/>
      <w:szCs w:val="20"/>
      <w:lang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DD2C32"/>
    <w:pPr>
      <w:spacing w:after="0" w:line="240" w:lineRule="auto"/>
    </w:pPr>
    <w:rPr>
      <w:rFonts w:ascii="Times New Roman" w:hAnsi="Times New Roman" w:cs="Times New Roman"/>
      <w:kern w:val="24"/>
      <w:sz w:val="24"/>
      <w:szCs w:val="20"/>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1">
    <w:name w:val="Table Grid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DD2C32"/>
    <w:pPr>
      <w:spacing w:after="0" w:line="240" w:lineRule="auto"/>
    </w:pPr>
    <w:rPr>
      <w:rFonts w:ascii="Times New Roman" w:hAnsi="Times New Roman" w:cs="Times New Roman"/>
      <w:kern w:val="24"/>
      <w:sz w:val="20"/>
      <w:szCs w:val="20"/>
      <w:lang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DD2C32"/>
    <w:pPr>
      <w:spacing w:after="0" w:line="240" w:lineRule="auto"/>
    </w:pPr>
    <w:rPr>
      <w:rFonts w:ascii="Times New Roman" w:hAnsi="Times New Roman" w:cs="Times New Roman"/>
      <w:kern w:val="24"/>
      <w:sz w:val="20"/>
      <w:szCs w:val="20"/>
      <w:lang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DD2C32"/>
    <w:pPr>
      <w:spacing w:after="0" w:line="240" w:lineRule="auto"/>
    </w:pPr>
    <w:rPr>
      <w:rFonts w:ascii="Times New Roman" w:hAnsi="Times New Roman" w:cs="Times New Roman"/>
      <w:b/>
      <w:bCs/>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DD2C32"/>
    <w:pPr>
      <w:spacing w:after="0" w:line="240" w:lineRule="auto"/>
    </w:pPr>
    <w:rPr>
      <w:rFonts w:ascii="Times New Roman" w:hAnsi="Times New Roman" w:cs="Times New Roman"/>
      <w:kern w:val="24"/>
      <w:sz w:val="20"/>
      <w:szCs w:val="20"/>
      <w:lang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DD2C32"/>
    <w:pPr>
      <w:spacing w:after="0" w:line="240" w:lineRule="auto"/>
    </w:pPr>
    <w:rPr>
      <w:rFonts w:ascii="Times New Roman" w:hAnsi="Times New Roman" w:cs="Times New Roman"/>
      <w:kern w:val="24"/>
      <w:sz w:val="20"/>
      <w:szCs w:val="20"/>
      <w:lang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DD2C32"/>
    <w:pPr>
      <w:spacing w:after="0" w:line="240" w:lineRule="auto"/>
    </w:pPr>
    <w:rPr>
      <w:rFonts w:ascii="Times New Roman" w:hAnsi="Times New Roman" w:cs="Times New Roman"/>
      <w:kern w:val="24"/>
      <w:sz w:val="20"/>
      <w:szCs w:val="20"/>
      <w:lang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99"/>
    <w:lsdException w:name="footer" w:uiPriority="99"/>
    <w:lsdException w:name="caption" w:uiPriority="35" w:qFormat="1"/>
    <w:lsdException w:name="annotation reference" w:uiPriority="99"/>
    <w:lsdException w:name="line number" w:uiPriority="99"/>
    <w:lsdException w:name="macro" w:uiPriority="99"/>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First Indent" w:uiPriority="99"/>
    <w:lsdException w:name="Body Text First Indent 2" w:uiPriority="99"/>
    <w:lsdException w:name="FollowedHyperlink" w:uiPriority="99"/>
    <w:lsdException w:name="Strong" w:semiHidden="0" w:uiPriority="22" w:unhideWhenUsed="0"/>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unhideWhenUsed/>
    <w:qFormat/>
    <w:rsid w:val="00A4669C"/>
    <w:pPr>
      <w:spacing w:after="240" w:line="240" w:lineRule="auto"/>
    </w:pPr>
    <w:rPr>
      <w:rFonts w:ascii="Times New Roman" w:hAnsi="Times New Roman" w:cs="Times New Roman"/>
      <w:kern w:val="24"/>
      <w:sz w:val="24"/>
      <w:szCs w:val="24"/>
      <w:lang w:val="en-GB" w:bidi="en-US"/>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DD2C32"/>
    <w:pPr>
      <w:spacing w:after="0" w:line="240" w:lineRule="auto"/>
    </w:pPr>
    <w:rPr>
      <w:rFonts w:ascii="Times New Roman" w:eastAsia="Times New Roman" w:hAnsi="Times New Roman" w:cs="Times New Roman"/>
      <w:kern w:val="24"/>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aliases w:val="BT"/>
    <w:basedOn w:val="Normal"/>
    <w:link w:val="BodyTextChar"/>
    <w:rsid w:val="009D3684"/>
    <w:rPr>
      <w:rFonts w:asciiTheme="minorHAnsi" w:hAnsiTheme="minorHAnsi" w:cstheme="minorBidi"/>
      <w:lang w:bidi="ar-SA"/>
    </w:rPr>
  </w:style>
  <w:style w:type="character" w:customStyle="1" w:styleId="BodyTextChar">
    <w:name w:val="Body Text Char"/>
    <w:aliases w:val="BT Char"/>
    <w:link w:val="BodyText"/>
    <w:rsid w:val="009D3684"/>
    <w:rPr>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4F81BD"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800080"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F81BD" w:themeColor="accent1"/>
    </w:rPr>
  </w:style>
  <w:style w:type="paragraph" w:styleId="IntenseQuote">
    <w:name w:val="Intense Quote"/>
    <w:basedOn w:val="Normal"/>
    <w:next w:val="Normal"/>
    <w:link w:val="IntenseQuoteCh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F81BD" w:themeColor="accent1"/>
      <w:kern w:val="24"/>
      <w:sz w:val="24"/>
      <w:szCs w:val="24"/>
      <w:lang w:bidi="en-US"/>
    </w:rPr>
  </w:style>
  <w:style w:type="character" w:styleId="IntenseReference">
    <w:name w:val="Intense Reference"/>
    <w:basedOn w:val="DefaultParagraphFont"/>
    <w:uiPriority w:val="32"/>
    <w:semiHidden/>
    <w:rsid w:val="00DD2C32"/>
    <w:rPr>
      <w:b/>
      <w:bCs/>
      <w:smallCaps/>
      <w:color w:val="C0504D"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spacing w:after="0"/>
      <w:ind w:left="6480"/>
    </w:pPr>
    <w:rPr>
      <w:rFonts w:ascii="Arial" w:eastAsiaTheme="minorEastAsia" w:hAnsi="Arial"/>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pPr>
      <w:spacing w:after="0" w:line="240" w:lineRule="auto"/>
    </w:pPr>
    <w:rPr>
      <w:rFonts w:ascii="Times New Roman" w:hAnsi="Times New Roman" w:cs="Times New Roman"/>
      <w:color w:val="365F91" w:themeColor="accent1" w:themeShade="BF"/>
      <w:kern w:val="24"/>
      <w:sz w:val="20"/>
      <w:szCs w:val="20"/>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2C32"/>
    <w:pPr>
      <w:spacing w:after="0" w:line="240" w:lineRule="auto"/>
    </w:pPr>
    <w:rPr>
      <w:rFonts w:ascii="Times New Roman" w:hAnsi="Times New Roman" w:cs="Times New Roman"/>
      <w:color w:val="943634" w:themeColor="accent2" w:themeShade="BF"/>
      <w:kern w:val="24"/>
      <w:sz w:val="20"/>
      <w:szCs w:val="20"/>
      <w:lang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2C32"/>
    <w:pPr>
      <w:spacing w:after="0" w:line="240" w:lineRule="auto"/>
    </w:pPr>
    <w:rPr>
      <w:rFonts w:ascii="Times New Roman" w:hAnsi="Times New Roman" w:cs="Times New Roman"/>
      <w:color w:val="76923C" w:themeColor="accent3" w:themeShade="BF"/>
      <w:kern w:val="24"/>
      <w:sz w:val="20"/>
      <w:szCs w:val="20"/>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2C32"/>
    <w:pPr>
      <w:spacing w:after="0" w:line="240" w:lineRule="auto"/>
    </w:pPr>
    <w:rPr>
      <w:rFonts w:ascii="Times New Roman" w:hAnsi="Times New Roman" w:cs="Times New Roman"/>
      <w:color w:val="5F497A" w:themeColor="accent4" w:themeShade="BF"/>
      <w:kern w:val="24"/>
      <w:sz w:val="20"/>
      <w:szCs w:val="20"/>
      <w:lang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2C32"/>
    <w:pPr>
      <w:spacing w:after="0" w:line="240" w:lineRule="auto"/>
    </w:pPr>
    <w:rPr>
      <w:rFonts w:ascii="Times New Roman" w:hAnsi="Times New Roman" w:cs="Times New Roman"/>
      <w:color w:val="31849B" w:themeColor="accent5" w:themeShade="BF"/>
      <w:kern w:val="24"/>
      <w:sz w:val="20"/>
      <w:szCs w:val="20"/>
      <w:lang w:bidi="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2C32"/>
    <w:pPr>
      <w:spacing w:after="0" w:line="240" w:lineRule="auto"/>
    </w:pPr>
    <w:rPr>
      <w:rFonts w:ascii="Times New Roman" w:hAnsi="Times New Roman" w:cs="Times New Roman"/>
      <w:color w:val="E36C0A" w:themeColor="accent6" w:themeShade="BF"/>
      <w:kern w:val="24"/>
      <w:sz w:val="20"/>
      <w:szCs w:val="20"/>
      <w:lang w:bidi="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D2C32"/>
    <w:pPr>
      <w:spacing w:after="0" w:line="240" w:lineRule="auto"/>
    </w:pPr>
    <w:rPr>
      <w:rFonts w:ascii="Times New Roman" w:hAnsi="Times New Roman" w:cs="Times New Roman"/>
      <w:color w:val="000000" w:themeColor="text1" w:themeShade="BF"/>
      <w:kern w:val="24"/>
      <w:sz w:val="20"/>
      <w:szCs w:val="20"/>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qFormat/>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after="0"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customStyle="1" w:styleId="NoteHeading1">
    <w:name w:val="Note Heading1"/>
    <w:basedOn w:val="AGNormal"/>
    <w:next w:val="Normal"/>
    <w:link w:val="NoteHeadingChar"/>
    <w:semiHidden/>
    <w:unhideWhenUsed/>
    <w:rsid w:val="00DD2C32"/>
  </w:style>
  <w:style w:type="character" w:customStyle="1" w:styleId="NoteHeadingChar">
    <w:name w:val="Note Heading Char"/>
    <w:basedOn w:val="DefaultParagraphFont"/>
    <w:link w:val="NoteHeading1"/>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C0504D" w:themeColor="accent2"/>
      <w:u w:val="single"/>
    </w:rPr>
  </w:style>
  <w:style w:type="table" w:styleId="Table3Deffects1">
    <w:name w:val="Table 3D effects 1"/>
    <w:basedOn w:val="TableNormal"/>
    <w:rsid w:val="00DD2C32"/>
    <w:pPr>
      <w:spacing w:after="0" w:line="240" w:lineRule="auto"/>
    </w:pPr>
    <w:rPr>
      <w:rFonts w:ascii="Times New Roman" w:hAnsi="Times New Roman" w:cs="Times New Roman"/>
      <w:kern w:val="24"/>
      <w:sz w:val="20"/>
      <w:szCs w:val="20"/>
      <w:lang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DD2C32"/>
    <w:pPr>
      <w:spacing w:after="0" w:line="240" w:lineRule="auto"/>
    </w:pPr>
    <w:rPr>
      <w:rFonts w:ascii="Times New Roman" w:hAnsi="Times New Roman" w:cs="Times New Roman"/>
      <w:kern w:val="24"/>
      <w:sz w:val="20"/>
      <w:szCs w:val="20"/>
      <w:lang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DD2C32"/>
    <w:pPr>
      <w:spacing w:after="0" w:line="240" w:lineRule="auto"/>
    </w:pPr>
    <w:rPr>
      <w:rFonts w:ascii="Times New Roman" w:hAnsi="Times New Roman" w:cs="Times New Roman"/>
      <w:color w:val="000080"/>
      <w:kern w:val="24"/>
      <w:sz w:val="20"/>
      <w:szCs w:val="20"/>
      <w:lang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DD2C32"/>
    <w:pPr>
      <w:spacing w:after="0" w:line="240" w:lineRule="auto"/>
    </w:pPr>
    <w:rPr>
      <w:rFonts w:ascii="Times New Roman" w:hAnsi="Times New Roman" w:cs="Times New Roman"/>
      <w:color w:val="FFFFFF"/>
      <w:kern w:val="24"/>
      <w:sz w:val="20"/>
      <w:szCs w:val="20"/>
      <w:lang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DD2C32"/>
    <w:pPr>
      <w:spacing w:after="0" w:line="240" w:lineRule="auto"/>
    </w:pPr>
    <w:rPr>
      <w:rFonts w:ascii="Times New Roman" w:hAnsi="Times New Roman" w:cs="Times New Roman"/>
      <w:kern w:val="24"/>
      <w:sz w:val="20"/>
      <w:szCs w:val="20"/>
      <w:lang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DD2C32"/>
    <w:pPr>
      <w:spacing w:after="0" w:line="240" w:lineRule="auto"/>
    </w:pPr>
    <w:rPr>
      <w:rFonts w:ascii="Times New Roman" w:hAnsi="Times New Roman" w:cs="Times New Roman"/>
      <w:b/>
      <w:bCs/>
      <w:kern w:val="24"/>
      <w:sz w:val="20"/>
      <w:szCs w:val="20"/>
      <w:lang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DD2C32"/>
    <w:pPr>
      <w:spacing w:after="0" w:line="240" w:lineRule="auto"/>
    </w:pPr>
    <w:rPr>
      <w:rFonts w:ascii="Times New Roman" w:hAnsi="Times New Roman" w:cs="Times New Roman"/>
      <w:kern w:val="24"/>
      <w:sz w:val="20"/>
      <w:szCs w:val="20"/>
      <w:lang w:bidi="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after="0" w:line="240" w:lineRule="auto"/>
    </w:pPr>
    <w:rPr>
      <w:rFonts w:ascii="Times New Roman" w:hAnsi="Times New Roman" w:cs="Times New Roman"/>
      <w:kern w:val="24"/>
      <w:sz w:val="20"/>
      <w:szCs w:val="20"/>
      <w:lang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DD2C32"/>
    <w:pPr>
      <w:spacing w:after="0" w:line="240" w:lineRule="auto"/>
    </w:pPr>
    <w:rPr>
      <w:rFonts w:ascii="Times New Roman" w:hAnsi="Times New Roman" w:cs="Times New Roman"/>
      <w:kern w:val="24"/>
      <w:sz w:val="20"/>
      <w:szCs w:val="20"/>
      <w:lang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DD2C32"/>
    <w:pPr>
      <w:spacing w:after="0" w:line="240" w:lineRule="auto"/>
    </w:pPr>
    <w:rPr>
      <w:rFonts w:ascii="Times New Roman" w:hAnsi="Times New Roman" w:cs="Times New Roman"/>
      <w:kern w:val="24"/>
      <w:sz w:val="24"/>
      <w:szCs w:val="20"/>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1">
    <w:name w:val="Table Grid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DD2C32"/>
    <w:pPr>
      <w:spacing w:after="0" w:line="240" w:lineRule="auto"/>
    </w:pPr>
    <w:rPr>
      <w:rFonts w:ascii="Times New Roman" w:hAnsi="Times New Roman" w:cs="Times New Roman"/>
      <w:kern w:val="24"/>
      <w:sz w:val="20"/>
      <w:szCs w:val="20"/>
      <w:lang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DD2C32"/>
    <w:pPr>
      <w:spacing w:after="0" w:line="240" w:lineRule="auto"/>
    </w:pPr>
    <w:rPr>
      <w:rFonts w:ascii="Times New Roman" w:hAnsi="Times New Roman" w:cs="Times New Roman"/>
      <w:kern w:val="24"/>
      <w:sz w:val="20"/>
      <w:szCs w:val="20"/>
      <w:lang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DD2C32"/>
    <w:pPr>
      <w:spacing w:after="0" w:line="240" w:lineRule="auto"/>
    </w:pPr>
    <w:rPr>
      <w:rFonts w:ascii="Times New Roman" w:hAnsi="Times New Roman" w:cs="Times New Roman"/>
      <w:b/>
      <w:bCs/>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DD2C32"/>
    <w:pPr>
      <w:spacing w:after="0" w:line="240" w:lineRule="auto"/>
    </w:pPr>
    <w:rPr>
      <w:rFonts w:ascii="Times New Roman" w:hAnsi="Times New Roman" w:cs="Times New Roman"/>
      <w:kern w:val="24"/>
      <w:sz w:val="20"/>
      <w:szCs w:val="20"/>
      <w:lang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DD2C32"/>
    <w:pPr>
      <w:spacing w:after="0" w:line="240" w:lineRule="auto"/>
    </w:pPr>
    <w:rPr>
      <w:rFonts w:ascii="Times New Roman" w:hAnsi="Times New Roman" w:cs="Times New Roman"/>
      <w:kern w:val="24"/>
      <w:sz w:val="20"/>
      <w:szCs w:val="20"/>
      <w:lang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DD2C32"/>
    <w:pPr>
      <w:spacing w:after="0" w:line="240" w:lineRule="auto"/>
    </w:pPr>
    <w:rPr>
      <w:rFonts w:ascii="Times New Roman" w:hAnsi="Times New Roman" w:cs="Times New Roman"/>
      <w:kern w:val="24"/>
      <w:sz w:val="20"/>
      <w:szCs w:val="20"/>
      <w:lang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DD2C32"/>
    <w:pPr>
      <w:spacing w:after="0" w:line="240" w:lineRule="auto"/>
    </w:pPr>
    <w:rPr>
      <w:rFonts w:ascii="Times New Roman" w:hAnsi="Times New Roman" w:cs="Times New Roman"/>
      <w:kern w:val="24"/>
      <w:sz w:val="20"/>
      <w:szCs w:val="20"/>
      <w:lang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DD2C32"/>
    <w:pPr>
      <w:spacing w:after="0" w:line="240" w:lineRule="auto"/>
    </w:pPr>
    <w:rPr>
      <w:rFonts w:ascii="Times New Roman" w:hAnsi="Times New Roman" w:cs="Times New Roman"/>
      <w:kern w:val="24"/>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DD2C32"/>
    <w:pPr>
      <w:spacing w:after="0" w:line="240" w:lineRule="auto"/>
    </w:pPr>
    <w:rPr>
      <w:rFonts w:ascii="Times New Roman" w:hAnsi="Times New Roman" w:cs="Times New Roman"/>
      <w:kern w:val="24"/>
      <w:sz w:val="20"/>
      <w:szCs w:val="20"/>
      <w:lang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2015-02-19T01:18:00Z</dcterms:created>
  <dcterms:modified xsi:type="dcterms:W3CDTF">2015-02-19T01:18:00Z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_NUMBER">
    <vt:lpwstr/>
  </property>
  <property fmtid="{D5CDD505-2E9C-101B-9397-08002B2CF9AE}" pid="3" name="EDOCS_VERSION_NUMBER">
    <vt:lpwstr>8</vt:lpwstr>
  </property>
  <property fmtid="{D5CDD505-2E9C-101B-9397-08002B2CF9AE}" pid="4" name="EDOCS_DOCUMENT_NAME">
    <vt:lpwstr/>
  </property>
  <property fmtid="{D5CDD505-2E9C-101B-9397-08002B2CF9AE}" pid="5" name="EDOCS_AUTHOR_NAME">
    <vt:lpwstr/>
  </property>
  <property fmtid="{D5CDD505-2E9C-101B-9397-08002B2CF9AE}" pid="6" name="EDOCS_DOCUMENT_TYPE">
    <vt:lpwstr/>
  </property>
  <property fmtid="{D5CDD505-2E9C-101B-9397-08002B2CF9AE}" pid="7" name="EDOCS_LIBRARY">
    <vt:lpwstr>SUPERDOCS</vt:lpwstr>
  </property>
</Properties>
</file>